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黑体" w:eastAsia="黑体"/>
          <w:sz w:val="32"/>
          <w:szCs w:val="32"/>
        </w:rPr>
      </w:pPr>
      <w:r>
        <w:rPr>
          <w:rFonts w:hint="eastAsia" w:ascii="黑体" w:eastAsia="黑体"/>
          <w:sz w:val="32"/>
          <w:szCs w:val="32"/>
        </w:rPr>
        <w:t>附件1</w:t>
      </w:r>
    </w:p>
    <w:p>
      <w:pPr>
        <w:spacing w:line="560" w:lineRule="exact"/>
        <w:jc w:val="center"/>
        <w:rPr>
          <w:rFonts w:eastAsia="方正小标宋_GBK"/>
          <w:sz w:val="44"/>
          <w:szCs w:val="44"/>
        </w:rPr>
      </w:pPr>
      <w:r>
        <w:rPr>
          <w:rFonts w:eastAsia="方正小标宋_GBK"/>
          <w:sz w:val="44"/>
          <w:szCs w:val="44"/>
        </w:rPr>
        <w:t>青岛市工程研究中心管理办法</w:t>
      </w:r>
    </w:p>
    <w:p>
      <w:pPr>
        <w:spacing w:line="560" w:lineRule="exact"/>
        <w:jc w:val="center"/>
        <w:rPr>
          <w:rFonts w:eastAsia="方正小标宋_GBK"/>
          <w:sz w:val="44"/>
          <w:szCs w:val="44"/>
        </w:rPr>
      </w:pPr>
      <w:r>
        <w:rPr>
          <w:rFonts w:eastAsia="方正小标宋_GBK"/>
          <w:sz w:val="44"/>
          <w:szCs w:val="44"/>
        </w:rPr>
        <w:t>（2019年修订）</w:t>
      </w:r>
    </w:p>
    <w:p>
      <w:pPr>
        <w:spacing w:line="560" w:lineRule="exact"/>
        <w:jc w:val="center"/>
        <w:rPr>
          <w:rFonts w:eastAsia="方正小标宋_GBK"/>
          <w:sz w:val="44"/>
          <w:szCs w:val="44"/>
        </w:rPr>
      </w:pPr>
    </w:p>
    <w:p>
      <w:pPr>
        <w:spacing w:line="560" w:lineRule="exact"/>
        <w:jc w:val="center"/>
        <w:rPr>
          <w:rFonts w:eastAsia="黑体"/>
          <w:sz w:val="32"/>
          <w:szCs w:val="32"/>
        </w:rPr>
      </w:pPr>
      <w:r>
        <w:rPr>
          <w:rFonts w:eastAsia="黑体"/>
          <w:sz w:val="32"/>
          <w:szCs w:val="32"/>
        </w:rPr>
        <w:t>第一章  总  则</w:t>
      </w:r>
    </w:p>
    <w:p>
      <w:pPr>
        <w:spacing w:line="560" w:lineRule="exact"/>
        <w:jc w:val="center"/>
        <w:rPr>
          <w:rFonts w:eastAsia="黑体"/>
          <w:sz w:val="32"/>
          <w:szCs w:val="32"/>
        </w:rPr>
      </w:pPr>
    </w:p>
    <w:p>
      <w:pPr>
        <w:pStyle w:val="3"/>
        <w:numPr>
          <w:ilvl w:val="0"/>
          <w:numId w:val="1"/>
        </w:numPr>
        <w:tabs>
          <w:tab w:val="left" w:pos="1995"/>
          <w:tab w:val="left" w:pos="2235"/>
        </w:tabs>
        <w:spacing w:after="0" w:line="560" w:lineRule="exact"/>
        <w:ind w:left="0" w:firstLine="640" w:firstLineChars="200"/>
        <w:rPr>
          <w:rFonts w:eastAsia="仿宋_GB2312"/>
          <w:szCs w:val="32"/>
        </w:rPr>
      </w:pPr>
      <w:r>
        <w:rPr>
          <w:rFonts w:eastAsia="仿宋_GB2312"/>
          <w:szCs w:val="32"/>
        </w:rPr>
        <w:t>为贯彻落实《中共青岛市委 青岛市人民政府关于大力实施创新驱动发展战略的意见》（青发〔2015〕8号）精神，深入实施创新驱动发展战略，进一步加强和规范青岛市工程研究中心</w:t>
      </w:r>
      <w:r>
        <w:rPr>
          <w:rFonts w:hint="eastAsia" w:eastAsia="仿宋_GB2312"/>
          <w:szCs w:val="32"/>
        </w:rPr>
        <w:t>（以下简称</w:t>
      </w:r>
      <w:r>
        <w:rPr>
          <w:rFonts w:eastAsia="仿宋_GB2312"/>
          <w:szCs w:val="32"/>
        </w:rPr>
        <w:t>工程研究中心</w:t>
      </w:r>
      <w:r>
        <w:rPr>
          <w:rFonts w:hint="eastAsia" w:eastAsia="仿宋_GB2312"/>
          <w:szCs w:val="32"/>
        </w:rPr>
        <w:t>）</w:t>
      </w:r>
      <w:r>
        <w:rPr>
          <w:rFonts w:eastAsia="仿宋_GB2312"/>
          <w:szCs w:val="32"/>
        </w:rPr>
        <w:t>运行管理，促进工程研究中心健康快速发展，充分发挥对全市新旧动能转换和高质量发展的重要支撑作用，依据《山东省科学技术进步条例》，根据《山东省工程实验室管理办法（2018年修订）》（鲁发改高技〔2018〕1435号），结合本市实际，制定本办法。</w:t>
      </w:r>
    </w:p>
    <w:p>
      <w:pPr>
        <w:pStyle w:val="3"/>
        <w:numPr>
          <w:ilvl w:val="0"/>
          <w:numId w:val="1"/>
        </w:numPr>
        <w:tabs>
          <w:tab w:val="left" w:pos="1995"/>
          <w:tab w:val="left" w:pos="2235"/>
        </w:tabs>
        <w:spacing w:after="0" w:line="560" w:lineRule="exact"/>
        <w:ind w:left="0" w:firstLine="640" w:firstLineChars="200"/>
        <w:rPr>
          <w:rFonts w:eastAsia="仿宋_GB2312"/>
          <w:szCs w:val="32"/>
        </w:rPr>
      </w:pPr>
      <w:r>
        <w:rPr>
          <w:rFonts w:eastAsia="仿宋_GB2312"/>
          <w:szCs w:val="32"/>
        </w:rPr>
        <w:t>本办法所称工程研究中心，是依托企业、科研机构或高等院校，围绕提高产业自主创新能力和核心竞争力，促进产业结构调整，推动产业转型升级而设立的研究开发平台，是基础研究成果向工程技术转化的重要途径，是本市自主创新体系的重要组成部分。工程研究中心的主要任务是围绕重点产业开展核心技术攻关、关键工艺试验研究、重大装备样机研制、相关标准制定、创新人才培养、科技成果转化及为行业提供技术服务等。</w:t>
      </w:r>
    </w:p>
    <w:p>
      <w:pPr>
        <w:pStyle w:val="3"/>
        <w:numPr>
          <w:ilvl w:val="0"/>
          <w:numId w:val="1"/>
        </w:numPr>
        <w:tabs>
          <w:tab w:val="left" w:pos="1995"/>
          <w:tab w:val="left" w:pos="2235"/>
        </w:tabs>
        <w:spacing w:after="0" w:line="560" w:lineRule="exact"/>
        <w:ind w:left="0" w:firstLine="640" w:firstLineChars="200"/>
        <w:rPr>
          <w:szCs w:val="32"/>
        </w:rPr>
      </w:pPr>
      <w:r>
        <w:rPr>
          <w:rFonts w:eastAsia="仿宋_GB2312"/>
          <w:szCs w:val="32"/>
        </w:rPr>
        <w:t>市发展改革委负责对全市工程研究中心建设布局进行宏观指导，组织开展认定和评价等工作。各区（市）发展改革部门、各经济功能区发展改革部门是工程研究中心的主管部门；承担单位为市属或中央、省驻青单位的工程研究中心，主管部门为市发展改革委。</w:t>
      </w:r>
    </w:p>
    <w:p>
      <w:pPr>
        <w:pStyle w:val="3"/>
        <w:tabs>
          <w:tab w:val="left" w:pos="1995"/>
          <w:tab w:val="left" w:pos="2235"/>
        </w:tabs>
        <w:spacing w:after="0" w:line="560" w:lineRule="exact"/>
        <w:ind w:left="640"/>
        <w:rPr>
          <w:szCs w:val="32"/>
        </w:rPr>
      </w:pPr>
    </w:p>
    <w:p>
      <w:pPr>
        <w:spacing w:line="560" w:lineRule="exact"/>
        <w:jc w:val="center"/>
        <w:rPr>
          <w:rFonts w:eastAsia="黑体"/>
          <w:sz w:val="32"/>
          <w:szCs w:val="32"/>
        </w:rPr>
      </w:pPr>
      <w:r>
        <w:rPr>
          <w:rFonts w:eastAsia="黑体"/>
          <w:sz w:val="32"/>
          <w:szCs w:val="32"/>
        </w:rPr>
        <w:t>第二章  申报认定</w:t>
      </w:r>
    </w:p>
    <w:p>
      <w:pPr>
        <w:spacing w:line="560" w:lineRule="exact"/>
        <w:jc w:val="center"/>
        <w:rPr>
          <w:rFonts w:eastAsia="黑体"/>
          <w:sz w:val="32"/>
          <w:szCs w:val="32"/>
        </w:rPr>
      </w:pPr>
    </w:p>
    <w:p>
      <w:pPr>
        <w:pStyle w:val="3"/>
        <w:numPr>
          <w:ilvl w:val="0"/>
          <w:numId w:val="1"/>
        </w:numPr>
        <w:tabs>
          <w:tab w:val="left" w:pos="1995"/>
          <w:tab w:val="left" w:pos="2235"/>
        </w:tabs>
        <w:spacing w:after="0" w:line="560" w:lineRule="exact"/>
        <w:ind w:left="0" w:firstLine="640" w:firstLineChars="200"/>
        <w:rPr>
          <w:szCs w:val="32"/>
        </w:rPr>
      </w:pPr>
      <w:r>
        <w:rPr>
          <w:rFonts w:eastAsia="仿宋_GB2312"/>
          <w:szCs w:val="32"/>
        </w:rPr>
        <w:t>工程研究中心认定原则上每年开展一次。市发展改革委发布通知进行安排，明确重点支持领域、申请材料、受理时间等事项。</w:t>
      </w:r>
    </w:p>
    <w:p>
      <w:pPr>
        <w:pStyle w:val="3"/>
        <w:numPr>
          <w:ilvl w:val="0"/>
          <w:numId w:val="1"/>
        </w:numPr>
        <w:tabs>
          <w:tab w:val="left" w:pos="1995"/>
          <w:tab w:val="left" w:pos="2235"/>
        </w:tabs>
        <w:spacing w:after="0" w:line="560" w:lineRule="exact"/>
        <w:ind w:left="0" w:firstLine="640" w:firstLineChars="200"/>
        <w:rPr>
          <w:rFonts w:eastAsia="仿宋_GB2312"/>
          <w:szCs w:val="32"/>
        </w:rPr>
      </w:pPr>
      <w:r>
        <w:rPr>
          <w:rFonts w:eastAsia="仿宋_GB2312"/>
          <w:szCs w:val="32"/>
        </w:rPr>
        <w:t>申请单位应具备条件</w:t>
      </w:r>
    </w:p>
    <w:p>
      <w:pPr>
        <w:spacing w:line="560" w:lineRule="exact"/>
        <w:ind w:firstLine="645"/>
        <w:rPr>
          <w:rFonts w:eastAsia="仿宋_GB2312"/>
          <w:sz w:val="32"/>
          <w:szCs w:val="32"/>
        </w:rPr>
      </w:pPr>
      <w:r>
        <w:rPr>
          <w:rFonts w:eastAsia="仿宋_GB2312"/>
          <w:sz w:val="32"/>
          <w:szCs w:val="32"/>
        </w:rPr>
        <w:t>（一）申请单位为本市注册的具有独立法人资格的企业、科研机构或高等院校，应具有较强综合实力。申请单位拟申报的市级工程研究中心应运行三年以上。申请单位为企业的，其固定资产原值应不低于3000万元，或者研发投入占销售收入的比重达到8%以上；</w:t>
      </w:r>
      <w:bookmarkStart w:id="2" w:name="_GoBack"/>
      <w:r>
        <w:rPr>
          <w:rFonts w:eastAsia="仿宋_GB2312"/>
          <w:b/>
          <w:bCs/>
          <w:sz w:val="32"/>
          <w:szCs w:val="32"/>
          <w:highlight w:val="yellow"/>
        </w:rPr>
        <w:t>申请单位为科研机构或高等院校的，拟申报工程研究中心近三年每年的建设与运行经费应不低于300万元。</w:t>
      </w:r>
      <w:bookmarkEnd w:id="2"/>
    </w:p>
    <w:p>
      <w:pPr>
        <w:spacing w:line="560" w:lineRule="exact"/>
        <w:ind w:firstLine="645"/>
        <w:rPr>
          <w:rFonts w:eastAsia="仿宋_GB2312"/>
          <w:sz w:val="32"/>
          <w:szCs w:val="32"/>
        </w:rPr>
      </w:pPr>
      <w:r>
        <w:rPr>
          <w:rFonts w:eastAsia="仿宋_GB2312"/>
          <w:sz w:val="32"/>
          <w:szCs w:val="32"/>
        </w:rPr>
        <w:t>（二）申请单位应具有较高水平的创新团队，凝聚一批高层次团队带头人和专职科研人员。注重工程研究中心人才队伍建设，在外部人才引进、在职人员进修培训、职称晋升等方面，优先考虑支持。</w:t>
      </w:r>
    </w:p>
    <w:p>
      <w:pPr>
        <w:spacing w:line="560" w:lineRule="exact"/>
        <w:ind w:firstLine="645"/>
        <w:rPr>
          <w:rFonts w:eastAsia="仿宋_GB2312"/>
          <w:sz w:val="32"/>
          <w:szCs w:val="32"/>
        </w:rPr>
      </w:pPr>
      <w:r>
        <w:rPr>
          <w:rFonts w:eastAsia="仿宋_GB2312"/>
          <w:sz w:val="32"/>
          <w:szCs w:val="32"/>
        </w:rPr>
        <w:t>（三）申请单位应具有先进的研发试验设施，具备良好的产学研合作基础。积极参与开展创新创业活动，具有主持市级及以上重点科研项目的经历，拥有一批高水平研发成果和技术储备。</w:t>
      </w:r>
    </w:p>
    <w:p>
      <w:pPr>
        <w:spacing w:line="560" w:lineRule="exact"/>
        <w:ind w:firstLine="645"/>
        <w:rPr>
          <w:rFonts w:eastAsia="仿宋_GB2312"/>
          <w:sz w:val="32"/>
          <w:szCs w:val="32"/>
        </w:rPr>
      </w:pPr>
      <w:r>
        <w:rPr>
          <w:rFonts w:eastAsia="仿宋_GB2312"/>
          <w:sz w:val="32"/>
          <w:szCs w:val="32"/>
        </w:rPr>
        <w:t>（四）工程研究中心现有研发场所原则上应不少于1200平方米，研发设备原值原则上不少于800万元，固定科研人员不少于20人。</w:t>
      </w:r>
    </w:p>
    <w:p>
      <w:pPr>
        <w:spacing w:line="560" w:lineRule="exact"/>
        <w:ind w:firstLine="645"/>
        <w:rPr>
          <w:rFonts w:eastAsia="仿宋_GB2312"/>
          <w:sz w:val="32"/>
          <w:szCs w:val="32"/>
        </w:rPr>
      </w:pPr>
      <w:r>
        <w:rPr>
          <w:rFonts w:eastAsia="仿宋_GB2312"/>
          <w:sz w:val="32"/>
          <w:szCs w:val="32"/>
        </w:rPr>
        <w:t>（五）拟认定工程研究中心应定位明确、发展思路清晰，任务和目标合理。</w:t>
      </w:r>
    </w:p>
    <w:p>
      <w:pPr>
        <w:spacing w:line="560" w:lineRule="exact"/>
        <w:ind w:firstLine="645"/>
        <w:rPr>
          <w:rFonts w:eastAsia="仿宋_GB2312"/>
          <w:sz w:val="32"/>
          <w:szCs w:val="32"/>
        </w:rPr>
      </w:pPr>
      <w:r>
        <w:rPr>
          <w:rFonts w:eastAsia="仿宋_GB2312"/>
          <w:sz w:val="32"/>
          <w:szCs w:val="32"/>
        </w:rPr>
        <w:t>（六）有规范的工程研究中心管理体制和运行机制。</w:t>
      </w:r>
    </w:p>
    <w:p>
      <w:pPr>
        <w:spacing w:line="560" w:lineRule="exact"/>
        <w:ind w:firstLine="645"/>
        <w:rPr>
          <w:rFonts w:eastAsia="仿宋_GB2312"/>
          <w:sz w:val="32"/>
          <w:szCs w:val="32"/>
        </w:rPr>
      </w:pPr>
      <w:r>
        <w:rPr>
          <w:rFonts w:eastAsia="仿宋_GB2312"/>
          <w:sz w:val="32"/>
          <w:szCs w:val="32"/>
        </w:rPr>
        <w:t>（七）符合国家、省和市其他相关规定。</w:t>
      </w:r>
    </w:p>
    <w:p>
      <w:pPr>
        <w:pStyle w:val="3"/>
        <w:numPr>
          <w:ilvl w:val="0"/>
          <w:numId w:val="1"/>
        </w:numPr>
        <w:tabs>
          <w:tab w:val="left" w:pos="1995"/>
          <w:tab w:val="left" w:pos="2235"/>
        </w:tabs>
        <w:spacing w:after="0" w:line="560" w:lineRule="exact"/>
        <w:ind w:left="0" w:firstLine="640" w:firstLineChars="200"/>
        <w:rPr>
          <w:rFonts w:eastAsia="仿宋_GB2312"/>
          <w:szCs w:val="32"/>
        </w:rPr>
      </w:pPr>
      <w:bookmarkStart w:id="0" w:name="12"/>
      <w:r>
        <w:rPr>
          <w:rFonts w:eastAsia="仿宋_GB2312"/>
          <w:szCs w:val="32"/>
        </w:rPr>
        <w:t>认定程序</w:t>
      </w:r>
    </w:p>
    <w:p>
      <w:pPr>
        <w:spacing w:line="560" w:lineRule="exact"/>
        <w:ind w:firstLine="645"/>
        <w:rPr>
          <w:rFonts w:eastAsia="仿宋_GB2312"/>
          <w:sz w:val="32"/>
          <w:szCs w:val="32"/>
        </w:rPr>
      </w:pPr>
      <w:r>
        <w:rPr>
          <w:rFonts w:eastAsia="仿宋_GB2312"/>
          <w:sz w:val="32"/>
          <w:szCs w:val="32"/>
        </w:rPr>
        <w:t>（一）申报单位向主管部门提出申请并按要求提交申请材料，申请材料包括：申请报告、运行情况表、真实性承诺及有关证明材料。</w:t>
      </w:r>
    </w:p>
    <w:p>
      <w:pPr>
        <w:spacing w:line="560" w:lineRule="exact"/>
        <w:ind w:firstLine="645"/>
        <w:rPr>
          <w:rFonts w:eastAsia="仿宋_GB2312"/>
          <w:sz w:val="32"/>
          <w:szCs w:val="32"/>
        </w:rPr>
      </w:pPr>
      <w:r>
        <w:rPr>
          <w:rFonts w:eastAsia="仿宋_GB2312"/>
          <w:sz w:val="32"/>
          <w:szCs w:val="32"/>
        </w:rPr>
        <w:t>（二）主管部门负责对申报单位的申请材料进行初审，择优确定推荐申报单位，并将申请材料和推荐意见在规定时间上报市发展改革委。市属或中央、省驻青单位的申请材料可直接报送市发展改革委。</w:t>
      </w:r>
    </w:p>
    <w:p>
      <w:pPr>
        <w:spacing w:line="560" w:lineRule="exact"/>
        <w:ind w:firstLine="645"/>
        <w:rPr>
          <w:rFonts w:eastAsia="仿宋_GB2312"/>
          <w:sz w:val="32"/>
          <w:szCs w:val="32"/>
        </w:rPr>
      </w:pPr>
      <w:r>
        <w:rPr>
          <w:rFonts w:eastAsia="仿宋_GB2312"/>
          <w:sz w:val="32"/>
          <w:szCs w:val="32"/>
        </w:rPr>
        <w:t>（三）市发展改革委受理申报文件后，委托第三方机构组织专家对申请材料进行评审</w:t>
      </w:r>
      <w:r>
        <w:rPr>
          <w:rFonts w:hint="eastAsia" w:eastAsia="仿宋_GB2312"/>
          <w:sz w:val="32"/>
          <w:szCs w:val="32"/>
        </w:rPr>
        <w:t>打分</w:t>
      </w:r>
      <w:r>
        <w:rPr>
          <w:rFonts w:eastAsia="仿宋_GB2312"/>
          <w:sz w:val="32"/>
          <w:szCs w:val="32"/>
        </w:rPr>
        <w:t>，择优认定年度工程研究中心，正式公开发布。</w:t>
      </w:r>
      <w:bookmarkEnd w:id="0"/>
    </w:p>
    <w:p>
      <w:pPr>
        <w:spacing w:line="560" w:lineRule="exact"/>
        <w:ind w:firstLine="645"/>
        <w:rPr>
          <w:rFonts w:eastAsia="仿宋_GB2312"/>
          <w:sz w:val="32"/>
          <w:szCs w:val="32"/>
        </w:rPr>
      </w:pPr>
    </w:p>
    <w:p>
      <w:pPr>
        <w:spacing w:line="560" w:lineRule="exact"/>
        <w:jc w:val="center"/>
        <w:rPr>
          <w:rFonts w:eastAsia="黑体"/>
          <w:sz w:val="32"/>
          <w:szCs w:val="32"/>
        </w:rPr>
      </w:pPr>
      <w:r>
        <w:rPr>
          <w:rFonts w:eastAsia="黑体"/>
          <w:sz w:val="32"/>
          <w:szCs w:val="32"/>
        </w:rPr>
        <w:t>第三章  运行评价</w:t>
      </w:r>
    </w:p>
    <w:p>
      <w:pPr>
        <w:spacing w:line="560" w:lineRule="exact"/>
        <w:jc w:val="center"/>
        <w:rPr>
          <w:rFonts w:eastAsia="黑体"/>
          <w:sz w:val="32"/>
          <w:szCs w:val="32"/>
        </w:rPr>
      </w:pPr>
    </w:p>
    <w:p>
      <w:pPr>
        <w:pStyle w:val="3"/>
        <w:numPr>
          <w:ilvl w:val="0"/>
          <w:numId w:val="1"/>
        </w:numPr>
        <w:tabs>
          <w:tab w:val="left" w:pos="1995"/>
          <w:tab w:val="left" w:pos="2235"/>
        </w:tabs>
        <w:spacing w:after="0" w:line="560" w:lineRule="exact"/>
        <w:ind w:left="0" w:firstLine="640" w:firstLineChars="200"/>
        <w:rPr>
          <w:szCs w:val="32"/>
        </w:rPr>
      </w:pPr>
      <w:r>
        <w:rPr>
          <w:rFonts w:eastAsia="仿宋_GB2312"/>
          <w:szCs w:val="32"/>
        </w:rPr>
        <w:t>工程研究中心实行定期评价制度</w:t>
      </w:r>
      <w:bookmarkStart w:id="1" w:name="24"/>
      <w:r>
        <w:rPr>
          <w:rFonts w:eastAsia="仿宋_GB2312"/>
          <w:szCs w:val="32"/>
        </w:rPr>
        <w:t>。</w:t>
      </w:r>
      <w:r>
        <w:rPr>
          <w:rFonts w:hint="eastAsia" w:eastAsia="仿宋_GB2312"/>
          <w:szCs w:val="32"/>
        </w:rPr>
        <w:t>2019年对工程研究中心进行评价，其后每两年评价一次</w:t>
      </w:r>
      <w:r>
        <w:rPr>
          <w:rFonts w:eastAsia="仿宋_GB2312"/>
          <w:szCs w:val="32"/>
        </w:rPr>
        <w:t>，报告期为上一年的1月1日至12月31日。</w:t>
      </w:r>
    </w:p>
    <w:bookmarkEnd w:id="1"/>
    <w:p>
      <w:pPr>
        <w:pStyle w:val="3"/>
        <w:numPr>
          <w:ilvl w:val="0"/>
          <w:numId w:val="1"/>
        </w:numPr>
        <w:tabs>
          <w:tab w:val="left" w:pos="1995"/>
          <w:tab w:val="left" w:pos="2235"/>
        </w:tabs>
        <w:spacing w:after="0" w:line="560" w:lineRule="exact"/>
        <w:ind w:left="0" w:firstLine="640" w:firstLineChars="200"/>
        <w:rPr>
          <w:rFonts w:eastAsia="仿宋_GB2312"/>
          <w:szCs w:val="32"/>
        </w:rPr>
      </w:pPr>
      <w:r>
        <w:rPr>
          <w:rFonts w:eastAsia="仿宋_GB2312"/>
          <w:szCs w:val="32"/>
        </w:rPr>
        <w:t>评价程序</w:t>
      </w:r>
    </w:p>
    <w:p>
      <w:pPr>
        <w:spacing w:line="560" w:lineRule="exact"/>
        <w:ind w:firstLine="645"/>
        <w:rPr>
          <w:rFonts w:eastAsia="仿宋_GB2312"/>
          <w:sz w:val="32"/>
          <w:szCs w:val="32"/>
        </w:rPr>
      </w:pPr>
      <w:r>
        <w:rPr>
          <w:rFonts w:eastAsia="仿宋_GB2312"/>
          <w:sz w:val="32"/>
          <w:szCs w:val="32"/>
        </w:rPr>
        <w:t>（一）</w:t>
      </w:r>
      <w:r>
        <w:rPr>
          <w:rFonts w:hint="eastAsia" w:eastAsia="仿宋_GB2312"/>
          <w:sz w:val="32"/>
          <w:szCs w:val="32"/>
        </w:rPr>
        <w:t>材料收集</w:t>
      </w:r>
      <w:r>
        <w:rPr>
          <w:rFonts w:eastAsia="仿宋_GB2312"/>
          <w:sz w:val="32"/>
          <w:szCs w:val="32"/>
        </w:rPr>
        <w:t>：根据统一工作部署，在工程研究中心评价年，工程研究中心向主管部门提交运行情况表、运行报告、真实性承诺及有关证明材料。</w:t>
      </w:r>
    </w:p>
    <w:p>
      <w:pPr>
        <w:spacing w:line="560" w:lineRule="exact"/>
        <w:ind w:firstLine="645"/>
        <w:rPr>
          <w:rFonts w:eastAsia="仿宋_GB2312"/>
          <w:sz w:val="32"/>
          <w:szCs w:val="32"/>
        </w:rPr>
      </w:pPr>
      <w:r>
        <w:rPr>
          <w:rFonts w:eastAsia="仿宋_GB2312"/>
          <w:sz w:val="32"/>
          <w:szCs w:val="32"/>
        </w:rPr>
        <w:t>（二）</w:t>
      </w:r>
      <w:r>
        <w:rPr>
          <w:rFonts w:hint="eastAsia" w:eastAsia="仿宋_GB2312"/>
          <w:sz w:val="32"/>
          <w:szCs w:val="32"/>
        </w:rPr>
        <w:t>材料</w:t>
      </w:r>
      <w:r>
        <w:rPr>
          <w:rFonts w:eastAsia="仿宋_GB2312"/>
          <w:sz w:val="32"/>
          <w:szCs w:val="32"/>
        </w:rPr>
        <w:t>初审：主管部门负责对评价材料的真实性、准确性和规范性进行审查，并出具审查意见，报送市发展改革委。承担单位为市属或中央、省驻青单位的，评价材料可直接报送市发展改革委审查。</w:t>
      </w:r>
    </w:p>
    <w:p>
      <w:pPr>
        <w:spacing w:line="560" w:lineRule="exact"/>
        <w:ind w:firstLine="645"/>
        <w:rPr>
          <w:rFonts w:eastAsia="仿宋_GB2312"/>
          <w:sz w:val="32"/>
          <w:szCs w:val="32"/>
        </w:rPr>
      </w:pPr>
      <w:r>
        <w:rPr>
          <w:rFonts w:eastAsia="仿宋_GB2312"/>
          <w:sz w:val="32"/>
          <w:szCs w:val="32"/>
        </w:rPr>
        <w:t>（三）评价方式：市发展改革委委托第三方机构对评价材料进行核查，并依据评价标准进行评价、打分。</w:t>
      </w:r>
    </w:p>
    <w:p>
      <w:pPr>
        <w:spacing w:line="560" w:lineRule="exact"/>
        <w:ind w:firstLine="645"/>
        <w:rPr>
          <w:rFonts w:eastAsia="仿宋_GB2312"/>
          <w:sz w:val="32"/>
          <w:szCs w:val="32"/>
        </w:rPr>
      </w:pPr>
      <w:r>
        <w:rPr>
          <w:rFonts w:eastAsia="仿宋_GB2312"/>
          <w:sz w:val="32"/>
          <w:szCs w:val="32"/>
        </w:rPr>
        <w:t>（四）评价结果：市发展改革委对评价结果进行审查确认后，正式向社会公布。评价结果在60分以下为不及格；60分（含）-75分为及格；75分（含）-85分为良好；85分（含）以上为优秀。</w:t>
      </w:r>
    </w:p>
    <w:p>
      <w:pPr>
        <w:pStyle w:val="3"/>
        <w:numPr>
          <w:ilvl w:val="0"/>
          <w:numId w:val="1"/>
        </w:numPr>
        <w:tabs>
          <w:tab w:val="left" w:pos="1995"/>
          <w:tab w:val="left" w:pos="2235"/>
        </w:tabs>
        <w:spacing w:after="0" w:line="560" w:lineRule="exact"/>
        <w:ind w:left="0" w:firstLine="640" w:firstLineChars="200"/>
        <w:rPr>
          <w:rFonts w:eastAsia="仿宋_GB2312"/>
          <w:szCs w:val="32"/>
        </w:rPr>
      </w:pPr>
      <w:r>
        <w:rPr>
          <w:rFonts w:eastAsia="仿宋_GB2312"/>
          <w:szCs w:val="32"/>
        </w:rPr>
        <w:t>评价结果运用</w:t>
      </w:r>
    </w:p>
    <w:p>
      <w:pPr>
        <w:pStyle w:val="3"/>
        <w:tabs>
          <w:tab w:val="left" w:pos="2205"/>
          <w:tab w:val="left" w:pos="2235"/>
          <w:tab w:val="left" w:pos="2646"/>
        </w:tabs>
        <w:spacing w:after="0" w:line="560" w:lineRule="exact"/>
        <w:ind w:firstLine="640" w:firstLineChars="200"/>
        <w:rPr>
          <w:rFonts w:hint="eastAsia" w:eastAsia="仿宋_GB2312"/>
          <w:szCs w:val="32"/>
        </w:rPr>
      </w:pPr>
      <w:r>
        <w:rPr>
          <w:rFonts w:eastAsia="仿宋_GB2312"/>
          <w:szCs w:val="32"/>
        </w:rPr>
        <w:t>市发展改革委将根据评价结果从工程研究中心中择优推荐申报山东省工程研究中心和国家地方联合工程研究中心。</w:t>
      </w:r>
    </w:p>
    <w:p>
      <w:pPr>
        <w:pStyle w:val="3"/>
        <w:tabs>
          <w:tab w:val="left" w:pos="2205"/>
          <w:tab w:val="left" w:pos="2235"/>
          <w:tab w:val="left" w:pos="2646"/>
        </w:tabs>
        <w:spacing w:after="0" w:line="560" w:lineRule="exact"/>
        <w:ind w:firstLine="640" w:firstLineChars="200"/>
        <w:rPr>
          <w:rFonts w:hint="eastAsia" w:eastAsia="仿宋_GB2312"/>
          <w:szCs w:val="32"/>
        </w:rPr>
      </w:pPr>
    </w:p>
    <w:p>
      <w:pPr>
        <w:spacing w:line="560" w:lineRule="exact"/>
        <w:ind w:firstLine="3040" w:firstLineChars="950"/>
        <w:rPr>
          <w:rFonts w:eastAsia="黑体"/>
          <w:sz w:val="32"/>
          <w:szCs w:val="32"/>
        </w:rPr>
      </w:pPr>
      <w:r>
        <w:rPr>
          <w:rFonts w:eastAsia="黑体"/>
          <w:sz w:val="32"/>
          <w:szCs w:val="32"/>
        </w:rPr>
        <w:t xml:space="preserve">第四章 </w:t>
      </w:r>
      <w:r>
        <w:rPr>
          <w:rFonts w:eastAsia="仿宋_GB2312"/>
          <w:sz w:val="32"/>
          <w:szCs w:val="32"/>
        </w:rPr>
        <w:t xml:space="preserve"> </w:t>
      </w:r>
      <w:r>
        <w:rPr>
          <w:rFonts w:eastAsia="黑体"/>
          <w:sz w:val="32"/>
          <w:szCs w:val="32"/>
        </w:rPr>
        <w:t>监督管理</w:t>
      </w:r>
    </w:p>
    <w:p>
      <w:pPr>
        <w:spacing w:line="560" w:lineRule="exact"/>
        <w:ind w:firstLine="3040" w:firstLineChars="950"/>
        <w:rPr>
          <w:rFonts w:eastAsia="黑体"/>
          <w:sz w:val="32"/>
          <w:szCs w:val="32"/>
        </w:rPr>
      </w:pPr>
    </w:p>
    <w:p>
      <w:pPr>
        <w:pStyle w:val="3"/>
        <w:numPr>
          <w:ilvl w:val="0"/>
          <w:numId w:val="1"/>
        </w:numPr>
        <w:tabs>
          <w:tab w:val="left" w:pos="1995"/>
          <w:tab w:val="left" w:pos="2235"/>
        </w:tabs>
        <w:spacing w:after="0" w:line="560" w:lineRule="exact"/>
        <w:ind w:left="0" w:firstLine="640" w:firstLineChars="200"/>
        <w:rPr>
          <w:rFonts w:eastAsia="仿宋_GB2312"/>
          <w:szCs w:val="32"/>
        </w:rPr>
      </w:pPr>
      <w:r>
        <w:rPr>
          <w:rFonts w:eastAsia="仿宋_GB2312"/>
          <w:szCs w:val="32"/>
        </w:rPr>
        <w:t>申报单位提交的申请认定材料和评价材料应真实可靠。</w:t>
      </w:r>
    </w:p>
    <w:p>
      <w:pPr>
        <w:pStyle w:val="3"/>
        <w:numPr>
          <w:ilvl w:val="0"/>
          <w:numId w:val="1"/>
        </w:numPr>
        <w:tabs>
          <w:tab w:val="left" w:pos="1995"/>
          <w:tab w:val="left" w:pos="2235"/>
        </w:tabs>
        <w:spacing w:after="0" w:line="560" w:lineRule="exact"/>
        <w:ind w:left="0" w:firstLine="640" w:firstLineChars="200"/>
        <w:rPr>
          <w:rFonts w:eastAsia="仿宋_GB2312"/>
          <w:szCs w:val="32"/>
        </w:rPr>
      </w:pPr>
      <w:r>
        <w:rPr>
          <w:rFonts w:eastAsia="仿宋_GB2312"/>
          <w:szCs w:val="32"/>
        </w:rPr>
        <w:t xml:space="preserve">  工程研究中心名称、建设单位主体如需变更，须经市发展改革委审核批准。</w:t>
      </w:r>
    </w:p>
    <w:p>
      <w:pPr>
        <w:pStyle w:val="3"/>
        <w:numPr>
          <w:ilvl w:val="0"/>
          <w:numId w:val="1"/>
        </w:numPr>
        <w:tabs>
          <w:tab w:val="left" w:pos="1995"/>
          <w:tab w:val="left" w:pos="2235"/>
        </w:tabs>
        <w:spacing w:after="0" w:line="560" w:lineRule="exact"/>
        <w:ind w:left="0" w:firstLine="640" w:firstLineChars="200"/>
        <w:rPr>
          <w:rFonts w:eastAsia="仿宋_GB2312"/>
          <w:szCs w:val="32"/>
        </w:rPr>
      </w:pPr>
      <w:r>
        <w:rPr>
          <w:rFonts w:eastAsia="仿宋_GB2312"/>
          <w:szCs w:val="32"/>
        </w:rPr>
        <w:t xml:space="preserve">  出现下列情况之一的，撤销其工程研究中心资格：</w:t>
      </w:r>
    </w:p>
    <w:p>
      <w:pPr>
        <w:spacing w:line="560" w:lineRule="exact"/>
        <w:ind w:firstLine="645"/>
        <w:rPr>
          <w:rFonts w:eastAsia="仿宋_GB2312"/>
          <w:sz w:val="32"/>
          <w:szCs w:val="32"/>
        </w:rPr>
      </w:pPr>
      <w:r>
        <w:rPr>
          <w:rFonts w:eastAsia="仿宋_GB2312"/>
          <w:sz w:val="32"/>
          <w:szCs w:val="32"/>
        </w:rPr>
        <w:t>（一）连续两次评价低于65分，或评价低于60分。</w:t>
      </w:r>
    </w:p>
    <w:p>
      <w:pPr>
        <w:spacing w:line="560" w:lineRule="exact"/>
        <w:ind w:firstLine="645"/>
        <w:rPr>
          <w:rFonts w:eastAsia="仿宋_GB2312"/>
          <w:sz w:val="32"/>
          <w:szCs w:val="32"/>
        </w:rPr>
      </w:pPr>
      <w:r>
        <w:rPr>
          <w:rFonts w:eastAsia="仿宋_GB2312"/>
          <w:sz w:val="32"/>
          <w:szCs w:val="32"/>
        </w:rPr>
        <w:t>（二）不按时提交评价材料。</w:t>
      </w:r>
    </w:p>
    <w:p>
      <w:pPr>
        <w:spacing w:line="560" w:lineRule="exact"/>
        <w:ind w:firstLine="645"/>
        <w:rPr>
          <w:rFonts w:eastAsia="仿宋_GB2312"/>
          <w:sz w:val="32"/>
          <w:szCs w:val="32"/>
        </w:rPr>
      </w:pPr>
      <w:r>
        <w:rPr>
          <w:rFonts w:eastAsia="仿宋_GB2312"/>
          <w:sz w:val="32"/>
          <w:szCs w:val="32"/>
        </w:rPr>
        <w:t>（三）承担单位自行要求撤销。</w:t>
      </w:r>
    </w:p>
    <w:p>
      <w:pPr>
        <w:spacing w:line="560" w:lineRule="exact"/>
        <w:ind w:firstLine="645"/>
        <w:rPr>
          <w:rFonts w:eastAsia="仿宋_GB2312"/>
          <w:sz w:val="32"/>
          <w:szCs w:val="32"/>
        </w:rPr>
      </w:pPr>
      <w:r>
        <w:rPr>
          <w:rFonts w:eastAsia="仿宋_GB2312"/>
          <w:sz w:val="32"/>
          <w:szCs w:val="32"/>
        </w:rPr>
        <w:t>（四）承担单位被依法终止。</w:t>
      </w:r>
    </w:p>
    <w:p>
      <w:pPr>
        <w:spacing w:line="560" w:lineRule="exact"/>
        <w:ind w:firstLine="645"/>
        <w:rPr>
          <w:rFonts w:eastAsia="仿宋_GB2312"/>
          <w:sz w:val="32"/>
          <w:szCs w:val="32"/>
        </w:rPr>
      </w:pPr>
      <w:r>
        <w:rPr>
          <w:rFonts w:eastAsia="仿宋_GB2312"/>
          <w:sz w:val="32"/>
          <w:szCs w:val="32"/>
        </w:rPr>
        <w:t>（五）有重大弄虚作假、伪造、瞒报等行为，或者司法、行政机关认定的其他严重违法失信行为。</w:t>
      </w:r>
    </w:p>
    <w:p>
      <w:pPr>
        <w:spacing w:line="560" w:lineRule="exact"/>
        <w:ind w:firstLine="645"/>
        <w:rPr>
          <w:rFonts w:eastAsia="仿宋_GB2312"/>
          <w:sz w:val="32"/>
          <w:szCs w:val="32"/>
        </w:rPr>
      </w:pPr>
      <w:r>
        <w:rPr>
          <w:rFonts w:eastAsia="仿宋_GB2312"/>
          <w:sz w:val="32"/>
          <w:szCs w:val="32"/>
        </w:rPr>
        <w:t>（六）有其它造成严重后果的情况。</w:t>
      </w:r>
    </w:p>
    <w:p>
      <w:pPr>
        <w:spacing w:line="560" w:lineRule="exact"/>
        <w:ind w:firstLine="645"/>
        <w:rPr>
          <w:rFonts w:eastAsia="仿宋_GB2312"/>
          <w:sz w:val="32"/>
          <w:szCs w:val="32"/>
        </w:rPr>
      </w:pPr>
    </w:p>
    <w:p>
      <w:pPr>
        <w:spacing w:line="560" w:lineRule="exact"/>
        <w:jc w:val="center"/>
        <w:rPr>
          <w:rFonts w:eastAsia="黑体"/>
          <w:sz w:val="32"/>
          <w:szCs w:val="32"/>
        </w:rPr>
      </w:pPr>
      <w:r>
        <w:rPr>
          <w:rFonts w:eastAsia="黑体"/>
          <w:sz w:val="32"/>
          <w:szCs w:val="32"/>
        </w:rPr>
        <w:t>第五章  附  则</w:t>
      </w:r>
    </w:p>
    <w:p>
      <w:pPr>
        <w:spacing w:line="560" w:lineRule="exact"/>
        <w:jc w:val="center"/>
        <w:rPr>
          <w:rFonts w:eastAsia="黑体"/>
          <w:sz w:val="32"/>
          <w:szCs w:val="32"/>
        </w:rPr>
      </w:pPr>
    </w:p>
    <w:p>
      <w:pPr>
        <w:pStyle w:val="3"/>
        <w:numPr>
          <w:ilvl w:val="0"/>
          <w:numId w:val="1"/>
        </w:numPr>
        <w:tabs>
          <w:tab w:val="left" w:pos="1995"/>
          <w:tab w:val="left" w:pos="2235"/>
        </w:tabs>
        <w:spacing w:after="0" w:line="560" w:lineRule="exact"/>
        <w:ind w:left="0" w:firstLine="640" w:firstLineChars="200"/>
        <w:rPr>
          <w:rFonts w:eastAsia="仿宋_GB2312"/>
          <w:szCs w:val="32"/>
        </w:rPr>
      </w:pPr>
      <w:r>
        <w:rPr>
          <w:szCs w:val="32"/>
        </w:rPr>
        <w:t xml:space="preserve">  </w:t>
      </w:r>
      <w:r>
        <w:rPr>
          <w:rFonts w:eastAsia="仿宋_GB2312"/>
          <w:szCs w:val="32"/>
        </w:rPr>
        <w:t>本办法自2019年</w:t>
      </w:r>
      <w:r>
        <w:rPr>
          <w:rFonts w:hint="eastAsia" w:eastAsia="仿宋_GB2312"/>
          <w:szCs w:val="32"/>
        </w:rPr>
        <w:t>4</w:t>
      </w:r>
      <w:r>
        <w:rPr>
          <w:rFonts w:eastAsia="仿宋_GB2312"/>
          <w:szCs w:val="32"/>
        </w:rPr>
        <w:t>月</w:t>
      </w:r>
      <w:r>
        <w:rPr>
          <w:rFonts w:hint="eastAsia" w:eastAsia="仿宋_GB2312"/>
          <w:szCs w:val="32"/>
        </w:rPr>
        <w:t>20</w:t>
      </w:r>
      <w:r>
        <w:rPr>
          <w:rFonts w:eastAsia="仿宋_GB2312"/>
          <w:szCs w:val="32"/>
        </w:rPr>
        <w:t>日施行，有效期至2024年</w:t>
      </w:r>
      <w:r>
        <w:rPr>
          <w:rFonts w:hint="eastAsia" w:eastAsia="仿宋_GB2312"/>
          <w:szCs w:val="32"/>
        </w:rPr>
        <w:t>4</w:t>
      </w:r>
      <w:r>
        <w:rPr>
          <w:rFonts w:eastAsia="仿宋_GB2312"/>
          <w:szCs w:val="32"/>
        </w:rPr>
        <w:t>月</w:t>
      </w:r>
      <w:r>
        <w:rPr>
          <w:rFonts w:hint="eastAsia" w:eastAsia="仿宋_GB2312"/>
          <w:szCs w:val="32"/>
        </w:rPr>
        <w:t>19</w:t>
      </w:r>
      <w:r>
        <w:rPr>
          <w:rFonts w:eastAsia="仿宋_GB2312"/>
          <w:szCs w:val="32"/>
        </w:rPr>
        <w:t>日。《青岛市发展和改革委员会关于印发</w:t>
      </w:r>
      <w:r>
        <w:rPr>
          <w:rFonts w:hint="eastAsia" w:eastAsia="仿宋_GB2312"/>
          <w:szCs w:val="32"/>
        </w:rPr>
        <w:t>〈</w:t>
      </w:r>
      <w:r>
        <w:rPr>
          <w:rFonts w:eastAsia="仿宋_GB2312"/>
          <w:szCs w:val="32"/>
        </w:rPr>
        <w:t>青岛市发展和改革委员会工程研究中心管理办法</w:t>
      </w:r>
      <w:r>
        <w:rPr>
          <w:rFonts w:hint="eastAsia" w:eastAsia="仿宋_GB2312"/>
          <w:szCs w:val="32"/>
        </w:rPr>
        <w:t>〉</w:t>
      </w:r>
      <w:r>
        <w:rPr>
          <w:rFonts w:eastAsia="仿宋_GB2312"/>
          <w:szCs w:val="32"/>
        </w:rPr>
        <w:t>的通知》（青发改高技〔2014〕122号）同时废止。</w:t>
      </w:r>
    </w:p>
    <w:p>
      <w:pPr>
        <w:pStyle w:val="3"/>
        <w:numPr>
          <w:ilvl w:val="0"/>
          <w:numId w:val="1"/>
        </w:numPr>
        <w:tabs>
          <w:tab w:val="left" w:pos="1995"/>
          <w:tab w:val="left" w:pos="2235"/>
        </w:tabs>
        <w:spacing w:after="0" w:line="560" w:lineRule="exact"/>
        <w:ind w:left="0" w:firstLine="640" w:firstLineChars="200"/>
        <w:rPr>
          <w:rFonts w:hint="eastAsia"/>
          <w:szCs w:val="32"/>
        </w:rPr>
      </w:pPr>
      <w:r>
        <w:rPr>
          <w:szCs w:val="32"/>
        </w:rPr>
        <w:t xml:space="preserve">  </w:t>
      </w:r>
      <w:r>
        <w:rPr>
          <w:rFonts w:eastAsia="仿宋_GB2312"/>
          <w:szCs w:val="32"/>
        </w:rPr>
        <w:t>青岛市工程实验室、纳入我市管理的国家地方联合工程研究中心（工程实验室）的管理，参照本办法执行。被认定为省级工程研究中心（工程实验室）的市级工程研究中心（工程实验室）评价</w:t>
      </w:r>
      <w:r>
        <w:rPr>
          <w:rFonts w:hint="eastAsia" w:eastAsia="仿宋_GB2312"/>
          <w:szCs w:val="32"/>
        </w:rPr>
        <w:t>按</w:t>
      </w:r>
      <w:r>
        <w:rPr>
          <w:rFonts w:eastAsia="仿宋_GB2312"/>
          <w:szCs w:val="32"/>
        </w:rPr>
        <w:t>照</w:t>
      </w:r>
      <w:r>
        <w:rPr>
          <w:rFonts w:hint="eastAsia" w:eastAsia="仿宋_GB2312"/>
          <w:szCs w:val="32"/>
        </w:rPr>
        <w:t>《</w:t>
      </w:r>
      <w:r>
        <w:rPr>
          <w:rFonts w:eastAsia="仿宋_GB2312"/>
          <w:szCs w:val="32"/>
        </w:rPr>
        <w:t>山东省工程实验室管理办法</w:t>
      </w:r>
      <w:r>
        <w:rPr>
          <w:rFonts w:hint="eastAsia" w:eastAsia="仿宋_GB2312"/>
          <w:szCs w:val="32"/>
        </w:rPr>
        <w:t>》</w:t>
      </w:r>
      <w:r>
        <w:rPr>
          <w:rFonts w:eastAsia="仿宋_GB2312"/>
          <w:szCs w:val="32"/>
        </w:rPr>
        <w:t>执行。</w:t>
      </w:r>
    </w:p>
    <w:p>
      <w:pPr>
        <w:pStyle w:val="3"/>
        <w:numPr>
          <w:ilvl w:val="0"/>
          <w:numId w:val="1"/>
        </w:numPr>
        <w:tabs>
          <w:tab w:val="left" w:pos="1995"/>
          <w:tab w:val="left" w:pos="2235"/>
        </w:tabs>
        <w:spacing w:after="0" w:line="560" w:lineRule="exact"/>
        <w:ind w:left="0" w:firstLine="640" w:firstLineChars="200"/>
        <w:rPr>
          <w:rFonts w:eastAsia="仿宋_GB2312"/>
          <w:szCs w:val="32"/>
        </w:rPr>
      </w:pPr>
      <w:r>
        <w:rPr>
          <w:rFonts w:eastAsia="仿宋_GB2312"/>
          <w:szCs w:val="32"/>
        </w:rPr>
        <w:t xml:space="preserve">  本办法由市发展改革委负责解释。</w:t>
      </w:r>
    </w:p>
    <w:p>
      <w:pPr>
        <w:spacing w:line="560" w:lineRule="exact"/>
        <w:rPr>
          <w:rFonts w:hint="eastAsia" w:ascii="黑体" w:eastAsia="黑体"/>
          <w:sz w:val="32"/>
          <w:szCs w:val="32"/>
        </w:rPr>
      </w:pPr>
      <w:r>
        <w:rPr>
          <w:rFonts w:eastAsia="仿宋_GB2312"/>
          <w:sz w:val="32"/>
          <w:szCs w:val="32"/>
        </w:rPr>
        <w:br w:type="page"/>
      </w:r>
      <w:r>
        <w:rPr>
          <w:rFonts w:hint="eastAsia" w:ascii="黑体" w:eastAsia="黑体"/>
          <w:sz w:val="32"/>
          <w:szCs w:val="32"/>
        </w:rPr>
        <w:t>附件2</w:t>
      </w:r>
    </w:p>
    <w:p>
      <w:pPr>
        <w:spacing w:line="560" w:lineRule="exact"/>
        <w:rPr>
          <w:rFonts w:hint="eastAsia" w:ascii="黑体" w:eastAsia="黑体"/>
          <w:sz w:val="32"/>
          <w:szCs w:val="32"/>
        </w:rPr>
      </w:pPr>
    </w:p>
    <w:p>
      <w:pPr>
        <w:autoSpaceDE w:val="0"/>
        <w:autoSpaceDN w:val="0"/>
        <w:adjustRightInd w:val="0"/>
        <w:spacing w:line="560" w:lineRule="exact"/>
        <w:jc w:val="center"/>
        <w:rPr>
          <w:rFonts w:hint="eastAsia" w:ascii="方正小标宋_GBK" w:eastAsia="方正小标宋_GBK"/>
          <w:bCs/>
          <w:kern w:val="0"/>
          <w:sz w:val="44"/>
          <w:szCs w:val="44"/>
        </w:rPr>
      </w:pPr>
      <w:r>
        <w:rPr>
          <w:rFonts w:hint="eastAsia" w:ascii="方正小标宋_GBK" w:eastAsia="方正小标宋_GBK"/>
          <w:bCs/>
          <w:kern w:val="0"/>
          <w:sz w:val="44"/>
          <w:szCs w:val="44"/>
        </w:rPr>
        <w:t>青岛市工程研究中心申请报告编写提纲</w:t>
      </w:r>
    </w:p>
    <w:p>
      <w:pPr>
        <w:autoSpaceDE w:val="0"/>
        <w:autoSpaceDN w:val="0"/>
        <w:adjustRightInd w:val="0"/>
        <w:spacing w:line="560" w:lineRule="exact"/>
        <w:ind w:firstLine="640" w:firstLineChars="200"/>
        <w:jc w:val="left"/>
        <w:rPr>
          <w:rFonts w:hint="eastAsia" w:eastAsia="黑体"/>
          <w:kern w:val="0"/>
          <w:sz w:val="32"/>
          <w:szCs w:val="32"/>
        </w:rPr>
      </w:pPr>
    </w:p>
    <w:p>
      <w:pPr>
        <w:autoSpaceDE w:val="0"/>
        <w:autoSpaceDN w:val="0"/>
        <w:adjustRightInd w:val="0"/>
        <w:spacing w:line="560" w:lineRule="exact"/>
        <w:ind w:firstLine="640" w:firstLineChars="200"/>
        <w:jc w:val="left"/>
        <w:rPr>
          <w:rFonts w:eastAsia="黑体"/>
          <w:kern w:val="0"/>
          <w:sz w:val="32"/>
          <w:szCs w:val="32"/>
        </w:rPr>
      </w:pPr>
      <w:r>
        <w:rPr>
          <w:rFonts w:eastAsia="黑体"/>
          <w:kern w:val="0"/>
          <w:sz w:val="32"/>
          <w:szCs w:val="32"/>
        </w:rPr>
        <w:t>一、工程研究中心的</w:t>
      </w:r>
      <w:r>
        <w:rPr>
          <w:rFonts w:hint="eastAsia" w:eastAsia="黑体"/>
          <w:kern w:val="0"/>
          <w:sz w:val="32"/>
          <w:szCs w:val="32"/>
        </w:rPr>
        <w:t>运行</w:t>
      </w:r>
      <w:r>
        <w:rPr>
          <w:rFonts w:eastAsia="黑体"/>
          <w:kern w:val="0"/>
          <w:sz w:val="32"/>
          <w:szCs w:val="32"/>
        </w:rPr>
        <w:t>情况</w:t>
      </w:r>
    </w:p>
    <w:p>
      <w:pPr>
        <w:autoSpaceDE w:val="0"/>
        <w:autoSpaceDN w:val="0"/>
        <w:adjustRightInd w:val="0"/>
        <w:spacing w:line="560" w:lineRule="exact"/>
        <w:ind w:firstLine="640" w:firstLineChars="200"/>
        <w:rPr>
          <w:rFonts w:hint="eastAsia" w:eastAsia="仿宋_GB2312"/>
          <w:kern w:val="0"/>
          <w:sz w:val="32"/>
          <w:szCs w:val="32"/>
        </w:rPr>
      </w:pPr>
      <w:r>
        <w:rPr>
          <w:rFonts w:hint="eastAsia" w:eastAsia="仿宋_GB2312"/>
          <w:kern w:val="0"/>
          <w:sz w:val="32"/>
          <w:szCs w:val="32"/>
        </w:rPr>
        <w:t>1</w:t>
      </w:r>
      <w:r>
        <w:rPr>
          <w:rFonts w:hint="eastAsia" w:ascii="仿宋_GB2312" w:eastAsia="仿宋_GB2312"/>
          <w:kern w:val="0"/>
          <w:sz w:val="32"/>
          <w:szCs w:val="32"/>
        </w:rPr>
        <w:t>．</w:t>
      </w:r>
      <w:r>
        <w:rPr>
          <w:rFonts w:eastAsia="仿宋_GB2312"/>
          <w:kern w:val="0"/>
          <w:sz w:val="32"/>
          <w:szCs w:val="32"/>
        </w:rPr>
        <w:t>青岛市工程研究中心运行情况</w:t>
      </w:r>
      <w:r>
        <w:rPr>
          <w:rFonts w:hint="eastAsia" w:eastAsia="仿宋_GB2312"/>
          <w:kern w:val="0"/>
          <w:sz w:val="32"/>
          <w:szCs w:val="32"/>
        </w:rPr>
        <w:t>总</w:t>
      </w:r>
      <w:r>
        <w:rPr>
          <w:rFonts w:eastAsia="仿宋_GB2312"/>
          <w:kern w:val="0"/>
          <w:sz w:val="32"/>
          <w:szCs w:val="32"/>
        </w:rPr>
        <w:t>表</w:t>
      </w:r>
    </w:p>
    <w:p>
      <w:pPr>
        <w:autoSpaceDE w:val="0"/>
        <w:autoSpaceDN w:val="0"/>
        <w:adjustRightInd w:val="0"/>
        <w:spacing w:line="560" w:lineRule="exact"/>
        <w:ind w:firstLine="640" w:firstLineChars="200"/>
        <w:rPr>
          <w:rFonts w:hint="eastAsia" w:eastAsia="仿宋_GB2312"/>
          <w:kern w:val="0"/>
          <w:sz w:val="32"/>
          <w:szCs w:val="32"/>
        </w:rPr>
      </w:pPr>
      <w:r>
        <w:rPr>
          <w:rFonts w:hint="eastAsia" w:eastAsia="仿宋_GB2312"/>
          <w:kern w:val="0"/>
          <w:sz w:val="32"/>
          <w:szCs w:val="32"/>
        </w:rPr>
        <w:t>2</w:t>
      </w:r>
      <w:r>
        <w:rPr>
          <w:rFonts w:hint="eastAsia" w:ascii="仿宋_GB2312" w:eastAsia="仿宋_GB2312"/>
          <w:kern w:val="0"/>
          <w:sz w:val="32"/>
          <w:szCs w:val="32"/>
        </w:rPr>
        <w:t>．</w:t>
      </w:r>
      <w:r>
        <w:rPr>
          <w:rFonts w:eastAsia="仿宋_GB2312"/>
          <w:kern w:val="0"/>
          <w:sz w:val="32"/>
          <w:szCs w:val="32"/>
        </w:rPr>
        <w:t>青岛市工程研究中心运行情况</w:t>
      </w:r>
      <w:r>
        <w:rPr>
          <w:rFonts w:hint="eastAsia" w:eastAsia="仿宋_GB2312"/>
          <w:kern w:val="0"/>
          <w:sz w:val="32"/>
          <w:szCs w:val="32"/>
        </w:rPr>
        <w:t>分表</w:t>
      </w:r>
    </w:p>
    <w:p>
      <w:pPr>
        <w:autoSpaceDE w:val="0"/>
        <w:autoSpaceDN w:val="0"/>
        <w:adjustRightInd w:val="0"/>
        <w:spacing w:line="560" w:lineRule="exact"/>
        <w:ind w:firstLine="640" w:firstLineChars="200"/>
        <w:jc w:val="left"/>
        <w:rPr>
          <w:rFonts w:eastAsia="黑体"/>
          <w:kern w:val="0"/>
          <w:sz w:val="32"/>
          <w:szCs w:val="32"/>
        </w:rPr>
      </w:pPr>
      <w:r>
        <w:rPr>
          <w:rFonts w:hint="eastAsia" w:eastAsia="黑体"/>
          <w:kern w:val="0"/>
          <w:sz w:val="32"/>
          <w:szCs w:val="32"/>
        </w:rPr>
        <w:t>二</w:t>
      </w:r>
      <w:r>
        <w:rPr>
          <w:rFonts w:eastAsia="黑体"/>
          <w:kern w:val="0"/>
          <w:sz w:val="32"/>
          <w:szCs w:val="32"/>
        </w:rPr>
        <w:t>、申请单位的基本情况</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1</w:t>
      </w:r>
      <w:r>
        <w:rPr>
          <w:rFonts w:hint="eastAsia" w:ascii="仿宋_GB2312" w:eastAsia="仿宋_GB2312"/>
          <w:kern w:val="0"/>
          <w:sz w:val="32"/>
          <w:szCs w:val="32"/>
        </w:rPr>
        <w:t>．</w:t>
      </w:r>
      <w:r>
        <w:rPr>
          <w:rFonts w:eastAsia="仿宋_GB2312"/>
          <w:kern w:val="0"/>
          <w:sz w:val="32"/>
          <w:szCs w:val="32"/>
        </w:rPr>
        <w:t>承担单位为企业的，介绍本企业经营管理等基本情况，包括所有制性质、职工人数、固定资产、资产负债率、银行信用等级、销售收入、利润、主导产品及市场占有率、技术来源等；承担单位为高校或科研机构的，介绍本单位拥有的科研设施、研发人员及主要研究方向，近</w:t>
      </w:r>
      <w:r>
        <w:rPr>
          <w:rFonts w:hint="eastAsia" w:eastAsia="仿宋_GB2312"/>
          <w:kern w:val="0"/>
          <w:sz w:val="32"/>
          <w:szCs w:val="32"/>
        </w:rPr>
        <w:t>3</w:t>
      </w:r>
      <w:r>
        <w:rPr>
          <w:rFonts w:eastAsia="仿宋_GB2312"/>
          <w:kern w:val="0"/>
          <w:sz w:val="32"/>
          <w:szCs w:val="32"/>
        </w:rPr>
        <w:t>年开展的研发活动，承担的国家级、省级和市级课题，取得的科技成果等情况</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2</w:t>
      </w:r>
      <w:r>
        <w:rPr>
          <w:rFonts w:hint="eastAsia" w:ascii="仿宋_GB2312" w:eastAsia="仿宋_GB2312"/>
          <w:kern w:val="0"/>
          <w:sz w:val="32"/>
          <w:szCs w:val="32"/>
        </w:rPr>
        <w:t>．</w:t>
      </w:r>
      <w:r>
        <w:rPr>
          <w:rFonts w:eastAsia="仿宋_GB2312"/>
          <w:kern w:val="0"/>
          <w:sz w:val="32"/>
          <w:szCs w:val="32"/>
        </w:rPr>
        <w:t>承担单位在本领域技术创新中的作用和竞争力</w:t>
      </w:r>
    </w:p>
    <w:p>
      <w:pPr>
        <w:autoSpaceDE w:val="0"/>
        <w:autoSpaceDN w:val="0"/>
        <w:adjustRightInd w:val="0"/>
        <w:spacing w:line="560" w:lineRule="exact"/>
        <w:ind w:firstLine="640" w:firstLineChars="200"/>
        <w:jc w:val="left"/>
        <w:rPr>
          <w:rFonts w:eastAsia="黑体"/>
          <w:kern w:val="0"/>
          <w:sz w:val="32"/>
          <w:szCs w:val="32"/>
        </w:rPr>
      </w:pPr>
      <w:r>
        <w:rPr>
          <w:rFonts w:hint="eastAsia" w:eastAsia="黑体"/>
          <w:kern w:val="0"/>
          <w:sz w:val="32"/>
          <w:szCs w:val="32"/>
        </w:rPr>
        <w:t>三</w:t>
      </w:r>
      <w:r>
        <w:rPr>
          <w:rFonts w:eastAsia="黑体"/>
          <w:kern w:val="0"/>
          <w:sz w:val="32"/>
          <w:szCs w:val="32"/>
        </w:rPr>
        <w:t>、工程研究中心的基本情况</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1</w:t>
      </w:r>
      <w:r>
        <w:rPr>
          <w:rFonts w:hint="eastAsia" w:ascii="仿宋_GB2312" w:eastAsia="仿宋_GB2312"/>
          <w:kern w:val="0"/>
          <w:sz w:val="32"/>
          <w:szCs w:val="32"/>
        </w:rPr>
        <w:t>．</w:t>
      </w:r>
      <w:r>
        <w:rPr>
          <w:rFonts w:hint="eastAsia" w:eastAsia="仿宋_GB2312"/>
          <w:kern w:val="0"/>
          <w:sz w:val="32"/>
          <w:szCs w:val="32"/>
        </w:rPr>
        <w:t>工程研究中心定位、</w:t>
      </w:r>
      <w:r>
        <w:rPr>
          <w:rFonts w:eastAsia="仿宋_GB2312"/>
          <w:kern w:val="0"/>
          <w:sz w:val="32"/>
          <w:szCs w:val="32"/>
        </w:rPr>
        <w:t>发展规划及目标</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2</w:t>
      </w:r>
      <w:r>
        <w:rPr>
          <w:rFonts w:hint="eastAsia" w:ascii="仿宋_GB2312" w:eastAsia="仿宋_GB2312"/>
          <w:kern w:val="0"/>
          <w:sz w:val="32"/>
          <w:szCs w:val="32"/>
        </w:rPr>
        <w:t>．</w:t>
      </w:r>
      <w:r>
        <w:rPr>
          <w:rFonts w:eastAsia="仿宋_GB2312"/>
          <w:kern w:val="0"/>
          <w:sz w:val="32"/>
          <w:szCs w:val="32"/>
        </w:rPr>
        <w:t>组织运行机制，包括各项规章制度，组织机构，研发经费，激励机制，创新环境等情况</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3</w:t>
      </w:r>
      <w:r>
        <w:rPr>
          <w:rFonts w:hint="eastAsia" w:ascii="仿宋_GB2312" w:eastAsia="仿宋_GB2312"/>
          <w:kern w:val="0"/>
          <w:sz w:val="32"/>
          <w:szCs w:val="32"/>
        </w:rPr>
        <w:t>．</w:t>
      </w:r>
      <w:r>
        <w:rPr>
          <w:rFonts w:eastAsia="仿宋_GB2312"/>
          <w:kern w:val="0"/>
          <w:sz w:val="32"/>
          <w:szCs w:val="32"/>
        </w:rPr>
        <w:t>研究开发及试验的基础条件</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4</w:t>
      </w:r>
      <w:r>
        <w:rPr>
          <w:rFonts w:hint="eastAsia" w:ascii="仿宋_GB2312" w:eastAsia="仿宋_GB2312"/>
          <w:kern w:val="0"/>
          <w:sz w:val="32"/>
          <w:szCs w:val="32"/>
        </w:rPr>
        <w:t>．</w:t>
      </w:r>
      <w:r>
        <w:rPr>
          <w:rFonts w:eastAsia="仿宋_GB2312"/>
          <w:kern w:val="0"/>
          <w:sz w:val="32"/>
          <w:szCs w:val="32"/>
        </w:rPr>
        <w:t>近</w:t>
      </w:r>
      <w:r>
        <w:rPr>
          <w:rFonts w:hint="eastAsia" w:eastAsia="仿宋_GB2312"/>
          <w:kern w:val="0"/>
          <w:sz w:val="32"/>
          <w:szCs w:val="32"/>
        </w:rPr>
        <w:t>3</w:t>
      </w:r>
      <w:r>
        <w:rPr>
          <w:rFonts w:eastAsia="仿宋_GB2312"/>
          <w:kern w:val="0"/>
          <w:sz w:val="32"/>
          <w:szCs w:val="32"/>
        </w:rPr>
        <w:t>年开展的研发工作，包括原始创新、自主开发、引进技术消化吸收、产学研合作等情况</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5</w:t>
      </w:r>
      <w:r>
        <w:rPr>
          <w:rFonts w:hint="eastAsia" w:ascii="仿宋_GB2312" w:eastAsia="仿宋_GB2312"/>
          <w:kern w:val="0"/>
          <w:sz w:val="32"/>
          <w:szCs w:val="32"/>
        </w:rPr>
        <w:t>．</w:t>
      </w:r>
      <w:r>
        <w:rPr>
          <w:rFonts w:eastAsia="仿宋_GB2312"/>
          <w:kern w:val="0"/>
          <w:sz w:val="32"/>
          <w:szCs w:val="32"/>
        </w:rPr>
        <w:t>信息化建设情况</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6</w:t>
      </w:r>
      <w:r>
        <w:rPr>
          <w:rFonts w:hint="eastAsia" w:ascii="仿宋_GB2312" w:eastAsia="仿宋_GB2312"/>
          <w:kern w:val="0"/>
          <w:sz w:val="32"/>
          <w:szCs w:val="32"/>
        </w:rPr>
        <w:t>．</w:t>
      </w:r>
      <w:r>
        <w:rPr>
          <w:rFonts w:eastAsia="仿宋_GB2312"/>
          <w:kern w:val="0"/>
          <w:sz w:val="32"/>
          <w:szCs w:val="32"/>
        </w:rPr>
        <w:t>技术带头人与创新团队情况</w:t>
      </w:r>
    </w:p>
    <w:p>
      <w:pPr>
        <w:autoSpaceDE w:val="0"/>
        <w:autoSpaceDN w:val="0"/>
        <w:adjustRightInd w:val="0"/>
        <w:spacing w:line="560" w:lineRule="exact"/>
        <w:ind w:firstLine="640" w:firstLineChars="200"/>
        <w:jc w:val="left"/>
        <w:rPr>
          <w:rFonts w:hint="eastAsia" w:eastAsia="仿宋_GB2312"/>
          <w:kern w:val="0"/>
          <w:sz w:val="32"/>
          <w:szCs w:val="32"/>
        </w:rPr>
      </w:pPr>
      <w:r>
        <w:rPr>
          <w:rFonts w:eastAsia="仿宋_GB2312"/>
          <w:kern w:val="0"/>
          <w:sz w:val="32"/>
          <w:szCs w:val="32"/>
        </w:rPr>
        <w:t>7</w:t>
      </w:r>
      <w:r>
        <w:rPr>
          <w:rFonts w:hint="eastAsia" w:ascii="仿宋_GB2312" w:eastAsia="仿宋_GB2312"/>
          <w:kern w:val="0"/>
          <w:sz w:val="32"/>
          <w:szCs w:val="32"/>
        </w:rPr>
        <w:t>．</w:t>
      </w:r>
      <w:r>
        <w:rPr>
          <w:rFonts w:eastAsia="仿宋_GB2312"/>
          <w:kern w:val="0"/>
          <w:sz w:val="32"/>
          <w:szCs w:val="32"/>
        </w:rPr>
        <w:t>近</w:t>
      </w:r>
      <w:r>
        <w:rPr>
          <w:rFonts w:hint="eastAsia" w:eastAsia="仿宋_GB2312"/>
          <w:kern w:val="0"/>
          <w:sz w:val="32"/>
          <w:szCs w:val="32"/>
        </w:rPr>
        <w:t>3</w:t>
      </w:r>
      <w:r>
        <w:rPr>
          <w:rFonts w:eastAsia="仿宋_GB2312"/>
          <w:kern w:val="0"/>
          <w:sz w:val="32"/>
          <w:szCs w:val="32"/>
        </w:rPr>
        <w:t>年取得的主要创新成果及其经济效益</w:t>
      </w:r>
    </w:p>
    <w:p>
      <w:pPr>
        <w:autoSpaceDE w:val="0"/>
        <w:autoSpaceDN w:val="0"/>
        <w:adjustRightInd w:val="0"/>
        <w:spacing w:line="560" w:lineRule="exact"/>
        <w:ind w:firstLine="640" w:firstLineChars="200"/>
        <w:jc w:val="left"/>
        <w:rPr>
          <w:rFonts w:eastAsia="仿宋_GB2312"/>
          <w:kern w:val="0"/>
          <w:sz w:val="32"/>
          <w:szCs w:val="32"/>
        </w:rPr>
      </w:pPr>
      <w:r>
        <w:rPr>
          <w:rFonts w:hint="eastAsia" w:eastAsia="仿宋_GB2312"/>
          <w:kern w:val="0"/>
          <w:sz w:val="32"/>
          <w:szCs w:val="32"/>
        </w:rPr>
        <w:t>8</w:t>
      </w:r>
      <w:r>
        <w:rPr>
          <w:rFonts w:hint="eastAsia" w:ascii="仿宋_GB2312" w:eastAsia="仿宋_GB2312"/>
          <w:kern w:val="0"/>
          <w:sz w:val="32"/>
          <w:szCs w:val="32"/>
        </w:rPr>
        <w:t>．</w:t>
      </w:r>
      <w:r>
        <w:rPr>
          <w:rFonts w:hint="eastAsia" w:eastAsia="仿宋_GB2312"/>
          <w:kern w:val="0"/>
          <w:sz w:val="32"/>
          <w:szCs w:val="32"/>
        </w:rPr>
        <w:t>工程研究中心未来3年发展目标、主要任务和措施</w:t>
      </w:r>
    </w:p>
    <w:p>
      <w:pPr>
        <w:autoSpaceDE w:val="0"/>
        <w:autoSpaceDN w:val="0"/>
        <w:adjustRightInd w:val="0"/>
        <w:spacing w:line="560" w:lineRule="exact"/>
        <w:ind w:firstLine="640" w:firstLineChars="200"/>
        <w:jc w:val="left"/>
        <w:rPr>
          <w:rFonts w:eastAsia="黑体"/>
          <w:kern w:val="0"/>
          <w:sz w:val="32"/>
          <w:szCs w:val="32"/>
        </w:rPr>
      </w:pPr>
      <w:r>
        <w:rPr>
          <w:rFonts w:hint="eastAsia" w:eastAsia="黑体"/>
          <w:kern w:val="0"/>
          <w:sz w:val="32"/>
          <w:szCs w:val="32"/>
        </w:rPr>
        <w:t>四</w:t>
      </w:r>
      <w:r>
        <w:rPr>
          <w:rFonts w:eastAsia="黑体"/>
          <w:kern w:val="0"/>
          <w:sz w:val="32"/>
          <w:szCs w:val="32"/>
        </w:rPr>
        <w:t>、有关证明材料</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1</w:t>
      </w:r>
      <w:r>
        <w:rPr>
          <w:rFonts w:hint="eastAsia" w:ascii="仿宋_GB2312" w:eastAsia="仿宋_GB2312"/>
          <w:kern w:val="0"/>
          <w:sz w:val="32"/>
          <w:szCs w:val="32"/>
        </w:rPr>
        <w:t>．</w:t>
      </w:r>
      <w:r>
        <w:rPr>
          <w:rFonts w:eastAsia="仿宋_GB2312"/>
          <w:kern w:val="0"/>
          <w:sz w:val="32"/>
          <w:szCs w:val="32"/>
        </w:rPr>
        <w:t>承担单位近</w:t>
      </w:r>
      <w:r>
        <w:rPr>
          <w:rFonts w:hint="eastAsia" w:eastAsia="仿宋_GB2312"/>
          <w:kern w:val="0"/>
          <w:sz w:val="32"/>
          <w:szCs w:val="32"/>
        </w:rPr>
        <w:t>3</w:t>
      </w:r>
      <w:r>
        <w:rPr>
          <w:rFonts w:eastAsia="仿宋_GB2312"/>
          <w:kern w:val="0"/>
          <w:sz w:val="32"/>
          <w:szCs w:val="32"/>
        </w:rPr>
        <w:t>年财务报表</w:t>
      </w:r>
    </w:p>
    <w:p>
      <w:pPr>
        <w:autoSpaceDE w:val="0"/>
        <w:autoSpaceDN w:val="0"/>
        <w:adjustRightInd w:val="0"/>
        <w:spacing w:line="560" w:lineRule="exact"/>
        <w:ind w:firstLine="640" w:firstLineChars="200"/>
        <w:rPr>
          <w:rFonts w:hint="eastAsia" w:eastAsia="仿宋_GB2312"/>
          <w:kern w:val="0"/>
          <w:sz w:val="32"/>
          <w:szCs w:val="32"/>
        </w:rPr>
      </w:pPr>
      <w:r>
        <w:rPr>
          <w:rFonts w:eastAsia="仿宋_GB2312"/>
          <w:kern w:val="0"/>
          <w:sz w:val="32"/>
          <w:szCs w:val="32"/>
        </w:rPr>
        <w:t>2</w:t>
      </w:r>
      <w:r>
        <w:rPr>
          <w:rFonts w:hint="eastAsia" w:ascii="仿宋_GB2312" w:eastAsia="仿宋_GB2312"/>
          <w:kern w:val="0"/>
          <w:sz w:val="32"/>
          <w:szCs w:val="32"/>
        </w:rPr>
        <w:t>．</w:t>
      </w:r>
      <w:r>
        <w:rPr>
          <w:rFonts w:eastAsia="仿宋_GB2312"/>
          <w:kern w:val="0"/>
          <w:sz w:val="32"/>
          <w:szCs w:val="32"/>
        </w:rPr>
        <w:t>大中型工业企业科技项目一览表（B107-1）、大中型工业企业科技活动情况表（B107-2）；未列入国家统计局大中型工业企业科技活动情况统计范围的企业可参照填写</w:t>
      </w:r>
    </w:p>
    <w:p>
      <w:pPr>
        <w:autoSpaceDE w:val="0"/>
        <w:autoSpaceDN w:val="0"/>
        <w:adjustRightInd w:val="0"/>
        <w:spacing w:line="560" w:lineRule="exact"/>
        <w:ind w:firstLine="640" w:firstLineChars="200"/>
        <w:rPr>
          <w:rFonts w:hint="eastAsia" w:eastAsia="仿宋_GB2312"/>
          <w:kern w:val="0"/>
          <w:sz w:val="32"/>
          <w:szCs w:val="32"/>
        </w:rPr>
      </w:pPr>
      <w:r>
        <w:rPr>
          <w:rFonts w:hint="eastAsia" w:eastAsia="仿宋_GB2312"/>
          <w:kern w:val="0"/>
          <w:sz w:val="32"/>
          <w:szCs w:val="32"/>
        </w:rPr>
        <w:t>3</w:t>
      </w:r>
      <w:r>
        <w:rPr>
          <w:rFonts w:hint="eastAsia" w:ascii="仿宋_GB2312" w:eastAsia="仿宋_GB2312"/>
          <w:kern w:val="0"/>
          <w:sz w:val="32"/>
          <w:szCs w:val="32"/>
        </w:rPr>
        <w:t>．</w:t>
      </w:r>
      <w:r>
        <w:rPr>
          <w:rFonts w:hint="eastAsia" w:eastAsia="仿宋_GB2312"/>
          <w:kern w:val="0"/>
          <w:sz w:val="32"/>
          <w:szCs w:val="32"/>
        </w:rPr>
        <w:t>企业固定资产原值相关证明材料</w:t>
      </w:r>
    </w:p>
    <w:p>
      <w:pPr>
        <w:spacing w:line="560" w:lineRule="exact"/>
        <w:ind w:firstLine="672" w:firstLineChars="210"/>
        <w:rPr>
          <w:rFonts w:eastAsia="仿宋_GB2312"/>
          <w:kern w:val="0"/>
          <w:sz w:val="32"/>
          <w:szCs w:val="32"/>
        </w:rPr>
      </w:pPr>
      <w:r>
        <w:rPr>
          <w:rFonts w:hint="eastAsia" w:eastAsia="仿宋_GB2312"/>
          <w:kern w:val="0"/>
          <w:sz w:val="32"/>
          <w:szCs w:val="32"/>
        </w:rPr>
        <w:t>4</w:t>
      </w:r>
      <w:r>
        <w:rPr>
          <w:rFonts w:hint="eastAsia" w:ascii="仿宋_GB2312" w:eastAsia="仿宋_GB2312"/>
          <w:kern w:val="0"/>
          <w:sz w:val="32"/>
          <w:szCs w:val="32"/>
        </w:rPr>
        <w:t>．</w:t>
      </w:r>
      <w:r>
        <w:rPr>
          <w:rFonts w:hint="eastAsia" w:eastAsia="仿宋_GB2312"/>
          <w:kern w:val="0"/>
          <w:sz w:val="32"/>
          <w:szCs w:val="32"/>
        </w:rPr>
        <w:t>高校、科研单位近3年运行经费证明材料</w:t>
      </w:r>
    </w:p>
    <w:p>
      <w:pPr>
        <w:autoSpaceDE w:val="0"/>
        <w:autoSpaceDN w:val="0"/>
        <w:adjustRightInd w:val="0"/>
        <w:spacing w:line="560" w:lineRule="exact"/>
        <w:ind w:firstLine="640" w:firstLineChars="200"/>
        <w:rPr>
          <w:rFonts w:hint="eastAsia" w:eastAsia="仿宋_GB2312"/>
          <w:kern w:val="0"/>
          <w:sz w:val="32"/>
          <w:szCs w:val="32"/>
        </w:rPr>
      </w:pPr>
      <w:r>
        <w:rPr>
          <w:rFonts w:hint="eastAsia" w:eastAsia="仿宋_GB2312"/>
          <w:kern w:val="0"/>
          <w:sz w:val="32"/>
          <w:szCs w:val="32"/>
        </w:rPr>
        <w:t>5</w:t>
      </w:r>
      <w:r>
        <w:rPr>
          <w:rFonts w:hint="eastAsia" w:ascii="仿宋_GB2312" w:eastAsia="仿宋_GB2312"/>
          <w:kern w:val="0"/>
          <w:sz w:val="32"/>
          <w:szCs w:val="32"/>
        </w:rPr>
        <w:t>．</w:t>
      </w:r>
      <w:r>
        <w:rPr>
          <w:rFonts w:hint="eastAsia" w:eastAsia="仿宋_GB2312"/>
          <w:kern w:val="0"/>
          <w:sz w:val="32"/>
          <w:szCs w:val="32"/>
        </w:rPr>
        <w:t>承担单位主持市级及以上重点科研项目相关证明材料</w:t>
      </w:r>
    </w:p>
    <w:p>
      <w:pPr>
        <w:autoSpaceDE w:val="0"/>
        <w:autoSpaceDN w:val="0"/>
        <w:adjustRightInd w:val="0"/>
        <w:spacing w:line="560" w:lineRule="exact"/>
        <w:ind w:firstLine="640" w:firstLineChars="200"/>
        <w:rPr>
          <w:rFonts w:hint="eastAsia" w:eastAsia="仿宋_GB2312"/>
          <w:kern w:val="0"/>
          <w:sz w:val="32"/>
          <w:szCs w:val="32"/>
        </w:rPr>
      </w:pPr>
      <w:r>
        <w:rPr>
          <w:rFonts w:hint="eastAsia" w:eastAsia="仿宋_GB2312"/>
          <w:kern w:val="0"/>
          <w:sz w:val="32"/>
          <w:szCs w:val="32"/>
        </w:rPr>
        <w:t>6</w:t>
      </w:r>
      <w:r>
        <w:rPr>
          <w:rFonts w:hint="eastAsia" w:ascii="仿宋_GB2312" w:eastAsia="仿宋_GB2312"/>
          <w:kern w:val="0"/>
          <w:sz w:val="32"/>
          <w:szCs w:val="32"/>
        </w:rPr>
        <w:t>．</w:t>
      </w:r>
      <w:r>
        <w:rPr>
          <w:rFonts w:hint="eastAsia" w:eastAsia="仿宋_GB2312"/>
          <w:kern w:val="0"/>
          <w:sz w:val="32"/>
          <w:szCs w:val="32"/>
        </w:rPr>
        <w:t>研发场所房产证或租赁合同</w:t>
      </w:r>
    </w:p>
    <w:p>
      <w:pPr>
        <w:autoSpaceDE w:val="0"/>
        <w:autoSpaceDN w:val="0"/>
        <w:adjustRightInd w:val="0"/>
        <w:spacing w:line="560" w:lineRule="exact"/>
        <w:ind w:firstLine="640" w:firstLineChars="200"/>
        <w:rPr>
          <w:rFonts w:hint="eastAsia" w:eastAsia="仿宋_GB2312"/>
          <w:kern w:val="0"/>
          <w:sz w:val="32"/>
          <w:szCs w:val="32"/>
        </w:rPr>
      </w:pPr>
      <w:r>
        <w:rPr>
          <w:rFonts w:hint="eastAsia" w:eastAsia="仿宋_GB2312"/>
          <w:kern w:val="0"/>
          <w:sz w:val="32"/>
          <w:szCs w:val="32"/>
        </w:rPr>
        <w:t>7</w:t>
      </w:r>
      <w:r>
        <w:rPr>
          <w:rFonts w:hint="eastAsia" w:ascii="仿宋_GB2312" w:eastAsia="仿宋_GB2312"/>
          <w:kern w:val="0"/>
          <w:sz w:val="32"/>
          <w:szCs w:val="32"/>
        </w:rPr>
        <w:t>．</w:t>
      </w:r>
      <w:r>
        <w:rPr>
          <w:rFonts w:hint="eastAsia" w:eastAsia="仿宋_GB2312"/>
          <w:kern w:val="0"/>
          <w:sz w:val="32"/>
          <w:szCs w:val="32"/>
        </w:rPr>
        <w:t>研发设备、固定科研人员明细及相关证明材料</w:t>
      </w:r>
    </w:p>
    <w:p>
      <w:pPr>
        <w:autoSpaceDE w:val="0"/>
        <w:autoSpaceDN w:val="0"/>
        <w:adjustRightInd w:val="0"/>
        <w:spacing w:line="560" w:lineRule="exact"/>
        <w:ind w:firstLine="640" w:firstLineChars="200"/>
        <w:rPr>
          <w:rFonts w:eastAsia="仿宋_GB2312"/>
          <w:kern w:val="0"/>
          <w:sz w:val="32"/>
          <w:szCs w:val="32"/>
        </w:rPr>
      </w:pPr>
      <w:r>
        <w:rPr>
          <w:rFonts w:hint="eastAsia" w:eastAsia="仿宋_GB2312"/>
          <w:kern w:val="0"/>
          <w:sz w:val="32"/>
          <w:szCs w:val="32"/>
        </w:rPr>
        <w:t>8</w:t>
      </w:r>
      <w:r>
        <w:rPr>
          <w:rFonts w:hint="eastAsia" w:ascii="仿宋_GB2312" w:eastAsia="仿宋_GB2312"/>
          <w:kern w:val="0"/>
          <w:sz w:val="32"/>
          <w:szCs w:val="32"/>
        </w:rPr>
        <w:t>．</w:t>
      </w:r>
      <w:r>
        <w:rPr>
          <w:rFonts w:eastAsia="仿宋_GB2312"/>
          <w:kern w:val="0"/>
          <w:sz w:val="32"/>
          <w:szCs w:val="32"/>
        </w:rPr>
        <w:t>技术带头人情况表及有关证书复印件</w:t>
      </w:r>
    </w:p>
    <w:p>
      <w:pPr>
        <w:autoSpaceDE w:val="0"/>
        <w:autoSpaceDN w:val="0"/>
        <w:adjustRightInd w:val="0"/>
        <w:spacing w:line="560" w:lineRule="exact"/>
        <w:ind w:firstLine="640" w:firstLineChars="200"/>
        <w:jc w:val="left"/>
        <w:rPr>
          <w:rFonts w:eastAsia="仿宋_GB2312"/>
          <w:kern w:val="0"/>
          <w:sz w:val="32"/>
          <w:szCs w:val="32"/>
        </w:rPr>
      </w:pPr>
      <w:r>
        <w:rPr>
          <w:rFonts w:hint="eastAsia" w:eastAsia="仿宋_GB2312"/>
          <w:kern w:val="0"/>
          <w:sz w:val="32"/>
          <w:szCs w:val="32"/>
        </w:rPr>
        <w:t>9</w:t>
      </w:r>
      <w:r>
        <w:rPr>
          <w:rFonts w:hint="eastAsia" w:ascii="仿宋_GB2312" w:eastAsia="仿宋_GB2312"/>
          <w:kern w:val="0"/>
          <w:sz w:val="32"/>
          <w:szCs w:val="32"/>
        </w:rPr>
        <w:t>．</w:t>
      </w:r>
      <w:r>
        <w:rPr>
          <w:rFonts w:eastAsia="仿宋_GB2312"/>
          <w:kern w:val="0"/>
          <w:sz w:val="32"/>
          <w:szCs w:val="32"/>
        </w:rPr>
        <w:t>近</w:t>
      </w:r>
      <w:r>
        <w:rPr>
          <w:rFonts w:hint="eastAsia" w:eastAsia="仿宋_GB2312"/>
          <w:kern w:val="0"/>
          <w:sz w:val="32"/>
          <w:szCs w:val="32"/>
        </w:rPr>
        <w:t>3</w:t>
      </w:r>
      <w:r>
        <w:rPr>
          <w:rFonts w:eastAsia="仿宋_GB2312"/>
          <w:kern w:val="0"/>
          <w:sz w:val="32"/>
          <w:szCs w:val="32"/>
        </w:rPr>
        <w:t>年开展的科研项目表，获得的科技成果、专利、标准复印件</w:t>
      </w:r>
    </w:p>
    <w:p>
      <w:pPr>
        <w:autoSpaceDE w:val="0"/>
        <w:autoSpaceDN w:val="0"/>
        <w:adjustRightInd w:val="0"/>
        <w:spacing w:line="560" w:lineRule="exact"/>
        <w:ind w:firstLine="640" w:firstLineChars="200"/>
        <w:jc w:val="left"/>
        <w:rPr>
          <w:rFonts w:eastAsia="仿宋_GB2312"/>
          <w:kern w:val="0"/>
          <w:sz w:val="32"/>
          <w:szCs w:val="32"/>
        </w:rPr>
      </w:pPr>
      <w:r>
        <w:rPr>
          <w:rFonts w:hint="eastAsia" w:eastAsia="仿宋_GB2312"/>
          <w:kern w:val="0"/>
          <w:sz w:val="32"/>
          <w:szCs w:val="32"/>
        </w:rPr>
        <w:t>10</w:t>
      </w:r>
      <w:r>
        <w:rPr>
          <w:rFonts w:hint="eastAsia" w:ascii="仿宋_GB2312" w:eastAsia="仿宋_GB2312"/>
          <w:kern w:val="0"/>
          <w:sz w:val="32"/>
          <w:szCs w:val="32"/>
        </w:rPr>
        <w:t>．</w:t>
      </w:r>
      <w:r>
        <w:rPr>
          <w:rFonts w:eastAsia="仿宋_GB2312"/>
          <w:kern w:val="0"/>
          <w:sz w:val="32"/>
          <w:szCs w:val="32"/>
        </w:rPr>
        <w:t>产学研合作协议</w:t>
      </w:r>
    </w:p>
    <w:p>
      <w:pPr>
        <w:autoSpaceDE w:val="0"/>
        <w:autoSpaceDN w:val="0"/>
        <w:adjustRightInd w:val="0"/>
        <w:spacing w:line="560" w:lineRule="exact"/>
        <w:ind w:firstLine="640" w:firstLineChars="200"/>
        <w:jc w:val="left"/>
        <w:rPr>
          <w:rFonts w:eastAsia="仿宋_GB2312"/>
          <w:kern w:val="0"/>
          <w:sz w:val="32"/>
          <w:szCs w:val="32"/>
        </w:rPr>
      </w:pPr>
      <w:r>
        <w:rPr>
          <w:rFonts w:hint="eastAsia" w:eastAsia="仿宋_GB2312"/>
          <w:kern w:val="0"/>
          <w:sz w:val="32"/>
          <w:szCs w:val="32"/>
        </w:rPr>
        <w:t>11</w:t>
      </w:r>
      <w:r>
        <w:rPr>
          <w:rFonts w:hint="eastAsia" w:ascii="仿宋_GB2312" w:eastAsia="仿宋_GB2312"/>
          <w:kern w:val="0"/>
          <w:sz w:val="32"/>
          <w:szCs w:val="32"/>
        </w:rPr>
        <w:t>．</w:t>
      </w:r>
      <w:r>
        <w:rPr>
          <w:rFonts w:eastAsia="仿宋_GB2312"/>
          <w:kern w:val="0"/>
          <w:sz w:val="32"/>
          <w:szCs w:val="32"/>
        </w:rPr>
        <w:t>成果转让协议</w:t>
      </w:r>
    </w:p>
    <w:p>
      <w:pPr>
        <w:spacing w:line="560" w:lineRule="exact"/>
        <w:ind w:firstLine="672" w:firstLineChars="210"/>
        <w:rPr>
          <w:rFonts w:hint="eastAsia" w:eastAsia="仿宋_GB2312"/>
          <w:kern w:val="0"/>
          <w:sz w:val="32"/>
          <w:szCs w:val="32"/>
        </w:rPr>
      </w:pPr>
      <w:r>
        <w:rPr>
          <w:rFonts w:hint="eastAsia" w:eastAsia="仿宋_GB2312"/>
          <w:kern w:val="0"/>
          <w:sz w:val="32"/>
          <w:szCs w:val="32"/>
        </w:rPr>
        <w:t>1</w:t>
      </w:r>
      <w:r>
        <w:rPr>
          <w:rFonts w:hint="eastAsia" w:ascii="仿宋_GB2312" w:eastAsia="仿宋_GB2312"/>
          <w:kern w:val="0"/>
          <w:sz w:val="32"/>
          <w:szCs w:val="32"/>
        </w:rPr>
        <w:t>2．</w:t>
      </w:r>
      <w:r>
        <w:rPr>
          <w:rFonts w:eastAsia="仿宋_GB2312"/>
          <w:kern w:val="0"/>
          <w:sz w:val="32"/>
          <w:szCs w:val="32"/>
        </w:rPr>
        <w:t>其</w:t>
      </w:r>
      <w:r>
        <w:rPr>
          <w:rFonts w:hint="eastAsia" w:eastAsia="仿宋_GB2312"/>
          <w:kern w:val="0"/>
          <w:sz w:val="32"/>
          <w:szCs w:val="32"/>
        </w:rPr>
        <w:t>它</w:t>
      </w:r>
      <w:r>
        <w:rPr>
          <w:rFonts w:eastAsia="仿宋_GB2312"/>
          <w:kern w:val="0"/>
          <w:sz w:val="32"/>
          <w:szCs w:val="32"/>
        </w:rPr>
        <w:t>有关证明材料</w:t>
      </w:r>
    </w:p>
    <w:p>
      <w:pPr>
        <w:autoSpaceDE w:val="0"/>
        <w:autoSpaceDN w:val="0"/>
        <w:adjustRightInd w:val="0"/>
        <w:spacing w:line="560" w:lineRule="exact"/>
        <w:ind w:firstLine="640" w:firstLineChars="200"/>
        <w:jc w:val="left"/>
        <w:rPr>
          <w:rFonts w:hint="eastAsia" w:eastAsia="仿宋"/>
          <w:sz w:val="32"/>
          <w:szCs w:val="32"/>
        </w:rPr>
      </w:pPr>
      <w:r>
        <w:rPr>
          <w:rFonts w:eastAsia="仿宋_GB2312"/>
          <w:kern w:val="0"/>
          <w:sz w:val="32"/>
          <w:szCs w:val="32"/>
        </w:rPr>
        <w:t>注：申请报告封面</w:t>
      </w:r>
      <w:r>
        <w:rPr>
          <w:rFonts w:hint="eastAsia" w:eastAsia="仿宋_GB2312"/>
          <w:kern w:val="0"/>
          <w:sz w:val="32"/>
          <w:szCs w:val="32"/>
        </w:rPr>
        <w:t>需要加</w:t>
      </w:r>
      <w:r>
        <w:rPr>
          <w:rFonts w:eastAsia="仿宋_GB2312"/>
          <w:kern w:val="0"/>
          <w:sz w:val="32"/>
          <w:szCs w:val="32"/>
        </w:rPr>
        <w:t>盖承担单位公章</w:t>
      </w:r>
      <w:r>
        <w:rPr>
          <w:rFonts w:hint="eastAsia" w:eastAsia="仿宋_GB2312"/>
          <w:kern w:val="0"/>
          <w:sz w:val="32"/>
          <w:szCs w:val="32"/>
        </w:rPr>
        <w:t>。</w:t>
      </w:r>
    </w:p>
    <w:p>
      <w:pPr>
        <w:spacing w:line="560" w:lineRule="exact"/>
        <w:rPr>
          <w:rFonts w:hint="eastAsia" w:ascii="黑体" w:eastAsia="黑体"/>
          <w:sz w:val="32"/>
          <w:szCs w:val="32"/>
        </w:rPr>
      </w:pPr>
      <w:r>
        <w:rPr>
          <w:rFonts w:eastAsia="仿宋"/>
          <w:sz w:val="32"/>
          <w:szCs w:val="32"/>
        </w:rPr>
        <w:br w:type="page"/>
      </w:r>
      <w:r>
        <w:rPr>
          <w:rFonts w:ascii="黑体" w:eastAsia="黑体"/>
          <w:sz w:val="32"/>
          <w:szCs w:val="32"/>
        </w:rPr>
        <w:t>附件</w:t>
      </w:r>
      <w:r>
        <w:rPr>
          <w:rFonts w:hint="eastAsia" w:ascii="黑体" w:eastAsia="黑体"/>
          <w:sz w:val="32"/>
          <w:szCs w:val="32"/>
        </w:rPr>
        <w:t>3</w:t>
      </w:r>
    </w:p>
    <w:p>
      <w:pPr>
        <w:spacing w:line="560" w:lineRule="exact"/>
        <w:jc w:val="center"/>
        <w:rPr>
          <w:rFonts w:hint="eastAsia" w:eastAsia="方正小标宋_GBK"/>
          <w:kern w:val="0"/>
          <w:sz w:val="44"/>
          <w:szCs w:val="44"/>
        </w:rPr>
      </w:pPr>
      <w:r>
        <w:rPr>
          <w:rFonts w:eastAsia="方正小标宋_GBK"/>
          <w:kern w:val="0"/>
          <w:sz w:val="44"/>
          <w:szCs w:val="44"/>
        </w:rPr>
        <w:t>青岛市工程研究中心运行情况</w:t>
      </w:r>
      <w:r>
        <w:rPr>
          <w:rFonts w:hint="eastAsia" w:eastAsia="方正小标宋_GBK"/>
          <w:kern w:val="0"/>
          <w:sz w:val="44"/>
          <w:szCs w:val="44"/>
        </w:rPr>
        <w:t>总</w:t>
      </w:r>
      <w:r>
        <w:rPr>
          <w:rFonts w:eastAsia="方正小标宋_GBK"/>
          <w:kern w:val="0"/>
          <w:sz w:val="44"/>
          <w:szCs w:val="44"/>
        </w:rPr>
        <w:t>表</w:t>
      </w:r>
    </w:p>
    <w:p>
      <w:pPr>
        <w:spacing w:line="560" w:lineRule="exact"/>
        <w:jc w:val="center"/>
        <w:rPr>
          <w:rFonts w:eastAsia="方正小标宋_GBK"/>
          <w:kern w:val="0"/>
          <w:sz w:val="44"/>
          <w:szCs w:val="44"/>
        </w:rPr>
      </w:pPr>
    </w:p>
    <w:tbl>
      <w:tblPr>
        <w:tblStyle w:val="7"/>
        <w:tblW w:w="10404" w:type="dxa"/>
        <w:jc w:val="center"/>
        <w:tblLayout w:type="fixed"/>
        <w:tblCellMar>
          <w:top w:w="0" w:type="dxa"/>
          <w:left w:w="108" w:type="dxa"/>
          <w:bottom w:w="0" w:type="dxa"/>
          <w:right w:w="108" w:type="dxa"/>
        </w:tblCellMar>
      </w:tblPr>
      <w:tblGrid>
        <w:gridCol w:w="1080"/>
        <w:gridCol w:w="1080"/>
        <w:gridCol w:w="2386"/>
        <w:gridCol w:w="1904"/>
        <w:gridCol w:w="1560"/>
        <w:gridCol w:w="1314"/>
        <w:gridCol w:w="1080"/>
      </w:tblGrid>
      <w:tr>
        <w:tblPrEx>
          <w:tblCellMar>
            <w:top w:w="0" w:type="dxa"/>
            <w:left w:w="108" w:type="dxa"/>
            <w:bottom w:w="0" w:type="dxa"/>
            <w:right w:w="108" w:type="dxa"/>
          </w:tblCellMar>
        </w:tblPrEx>
        <w:trPr>
          <w:cantSplit/>
          <w:trHeight w:val="340" w:hRule="atLeast"/>
          <w:jc w:val="center"/>
        </w:trPr>
        <w:tc>
          <w:tcPr>
            <w:tcW w:w="216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工程研究中心名称</w:t>
            </w:r>
          </w:p>
        </w:tc>
        <w:tc>
          <w:tcPr>
            <w:tcW w:w="429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kern w:val="0"/>
                <w:szCs w:val="21"/>
                <w:shd w:val="pct10" w:color="auto" w:fill="FFFFFF"/>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所属战略性</w:t>
            </w:r>
          </w:p>
          <w:p>
            <w:pPr>
              <w:widowControl/>
              <w:jc w:val="center"/>
              <w:rPr>
                <w:rFonts w:hint="eastAsia"/>
                <w:kern w:val="0"/>
                <w:szCs w:val="21"/>
              </w:rPr>
            </w:pPr>
            <w:r>
              <w:rPr>
                <w:rFonts w:hint="eastAsia"/>
                <w:kern w:val="0"/>
                <w:szCs w:val="21"/>
              </w:rPr>
              <w:t>新兴产业领域</w:t>
            </w:r>
          </w:p>
        </w:tc>
        <w:tc>
          <w:tcPr>
            <w:tcW w:w="239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cantSplit/>
          <w:trHeight w:val="340" w:hRule="atLeast"/>
          <w:jc w:val="center"/>
        </w:trPr>
        <w:tc>
          <w:tcPr>
            <w:tcW w:w="216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承担单位</w:t>
            </w:r>
          </w:p>
        </w:tc>
        <w:tc>
          <w:tcPr>
            <w:tcW w:w="429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kern w:val="0"/>
                <w:szCs w:val="21"/>
                <w:shd w:val="pct10" w:color="auto" w:fill="FFFFFF"/>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所属行业及</w:t>
            </w:r>
          </w:p>
          <w:p>
            <w:pPr>
              <w:widowControl/>
              <w:jc w:val="center"/>
              <w:rPr>
                <w:rFonts w:hint="eastAsia"/>
                <w:kern w:val="0"/>
                <w:szCs w:val="21"/>
              </w:rPr>
            </w:pPr>
            <w:r>
              <w:rPr>
                <w:rFonts w:hint="eastAsia"/>
                <w:kern w:val="0"/>
                <w:szCs w:val="21"/>
              </w:rPr>
              <w:t>统计代码</w:t>
            </w:r>
          </w:p>
        </w:tc>
        <w:tc>
          <w:tcPr>
            <w:tcW w:w="239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cantSplit/>
          <w:trHeight w:val="340" w:hRule="atLeast"/>
          <w:jc w:val="center"/>
        </w:trPr>
        <w:tc>
          <w:tcPr>
            <w:tcW w:w="2160"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单位地址</w:t>
            </w: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jc w:val="left"/>
              <w:rPr>
                <w:kern w:val="0"/>
                <w:szCs w:val="21"/>
                <w:shd w:val="pct10" w:color="auto" w:fill="FFFFFF"/>
              </w:rPr>
            </w:pP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电子</w:t>
            </w:r>
            <w:r>
              <w:rPr>
                <w:rFonts w:hint="eastAsia"/>
                <w:kern w:val="0"/>
                <w:szCs w:val="21"/>
              </w:rPr>
              <w:t>邮箱地址</w:t>
            </w:r>
          </w:p>
        </w:tc>
        <w:tc>
          <w:tcPr>
            <w:tcW w:w="2394" w:type="dxa"/>
            <w:gridSpan w:val="2"/>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cantSplit/>
          <w:trHeight w:val="317" w:hRule="atLeast"/>
          <w:jc w:val="center"/>
        </w:trPr>
        <w:tc>
          <w:tcPr>
            <w:tcW w:w="2160" w:type="dxa"/>
            <w:gridSpan w:val="2"/>
            <w:tcBorders>
              <w:top w:val="nil"/>
              <w:left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联系人</w:t>
            </w:r>
          </w:p>
        </w:tc>
        <w:tc>
          <w:tcPr>
            <w:tcW w:w="4290"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Cs w:val="21"/>
                <w:shd w:val="pct10" w:color="auto" w:fill="FFFFFF"/>
              </w:rPr>
            </w:pPr>
          </w:p>
        </w:tc>
        <w:tc>
          <w:tcPr>
            <w:tcW w:w="15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联系电话</w:t>
            </w:r>
          </w:p>
        </w:tc>
        <w:tc>
          <w:tcPr>
            <w:tcW w:w="2394"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cantSplit/>
          <w:trHeight w:val="340" w:hRule="atLeast"/>
          <w:jc w:val="center"/>
        </w:trPr>
        <w:tc>
          <w:tcPr>
            <w:tcW w:w="10404" w:type="dxa"/>
            <w:gridSpan w:val="7"/>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kern w:val="0"/>
                <w:szCs w:val="21"/>
              </w:rPr>
            </w:pPr>
            <w:r>
              <w:rPr>
                <w:kern w:val="0"/>
                <w:szCs w:val="21"/>
              </w:rPr>
              <w:t>运行信息</w:t>
            </w:r>
            <w:r>
              <w:rPr>
                <w:rFonts w:hint="eastAsia"/>
                <w:kern w:val="0"/>
                <w:szCs w:val="21"/>
              </w:rPr>
              <w:t>指标数据</w:t>
            </w:r>
          </w:p>
        </w:tc>
      </w:tr>
      <w:tr>
        <w:tblPrEx>
          <w:tblCellMar>
            <w:top w:w="0" w:type="dxa"/>
            <w:left w:w="108" w:type="dxa"/>
            <w:bottom w:w="0" w:type="dxa"/>
            <w:right w:w="108" w:type="dxa"/>
          </w:tblCellMar>
        </w:tblPrEx>
        <w:trPr>
          <w:cantSplit/>
          <w:trHeight w:val="340" w:hRule="atLeast"/>
          <w:jc w:val="center"/>
        </w:trPr>
        <w:tc>
          <w:tcPr>
            <w:tcW w:w="1080" w:type="dxa"/>
            <w:vMerge w:val="restart"/>
            <w:tcBorders>
              <w:top w:val="nil"/>
              <w:left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限定</w:t>
            </w:r>
          </w:p>
          <w:p>
            <w:pPr>
              <w:jc w:val="center"/>
              <w:rPr>
                <w:kern w:val="0"/>
                <w:szCs w:val="21"/>
              </w:rPr>
            </w:pPr>
            <w:r>
              <w:rPr>
                <w:rFonts w:hint="eastAsia"/>
                <w:kern w:val="0"/>
                <w:szCs w:val="21"/>
              </w:rPr>
              <w:t>指标</w:t>
            </w:r>
          </w:p>
        </w:tc>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kern w:val="0"/>
                <w:szCs w:val="21"/>
              </w:rPr>
            </w:pPr>
            <w:r>
              <w:rPr>
                <w:rFonts w:ascii="黑体" w:hAnsi="黑体" w:eastAsia="黑体"/>
                <w:kern w:val="0"/>
                <w:szCs w:val="21"/>
              </w:rPr>
              <w:t>序号</w:t>
            </w: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kern w:val="0"/>
                <w:szCs w:val="21"/>
              </w:rPr>
            </w:pPr>
            <w:r>
              <w:rPr>
                <w:rFonts w:hint="eastAsia" w:ascii="黑体" w:hAnsi="黑体" w:eastAsia="黑体"/>
                <w:kern w:val="0"/>
                <w:szCs w:val="21"/>
              </w:rPr>
              <w:t>指标名称</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kern w:val="0"/>
                <w:szCs w:val="21"/>
              </w:rPr>
            </w:pPr>
            <w:r>
              <w:rPr>
                <w:rFonts w:ascii="黑体" w:hAnsi="黑体" w:eastAsia="黑体"/>
                <w:kern w:val="0"/>
                <w:szCs w:val="21"/>
              </w:rPr>
              <w:t>单位</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kern w:val="0"/>
                <w:szCs w:val="21"/>
              </w:rPr>
            </w:pPr>
            <w:r>
              <w:rPr>
                <w:rFonts w:hint="eastAsia" w:ascii="黑体" w:hAnsi="黑体" w:eastAsia="黑体"/>
                <w:kern w:val="0"/>
                <w:szCs w:val="21"/>
              </w:rPr>
              <w:t>基本要求</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kern w:val="0"/>
                <w:szCs w:val="21"/>
              </w:rPr>
            </w:pPr>
            <w:r>
              <w:rPr>
                <w:rFonts w:ascii="黑体" w:hAnsi="黑体" w:eastAsia="黑体"/>
                <w:kern w:val="0"/>
                <w:szCs w:val="21"/>
              </w:rPr>
              <w:t>数据</w:t>
            </w:r>
          </w:p>
        </w:tc>
      </w:tr>
      <w:tr>
        <w:tblPrEx>
          <w:tblCellMar>
            <w:top w:w="0" w:type="dxa"/>
            <w:left w:w="108" w:type="dxa"/>
            <w:bottom w:w="0" w:type="dxa"/>
            <w:right w:w="108" w:type="dxa"/>
          </w:tblCellMar>
        </w:tblPrEx>
        <w:trPr>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center"/>
          </w:tcPr>
          <w:p>
            <w:pPr>
              <w:widowControl/>
              <w:jc w:val="center"/>
              <w:rPr>
                <w:kern w:val="0"/>
                <w:szCs w:val="21"/>
              </w:rPr>
            </w:pPr>
          </w:p>
        </w:tc>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1</w:t>
            </w: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r>
              <w:rPr>
                <w:rFonts w:hint="eastAsia"/>
                <w:kern w:val="0"/>
                <w:szCs w:val="21"/>
              </w:rPr>
              <w:t>工程研究中心运行时间</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年</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≥3</w:t>
            </w: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2</w:t>
            </w: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r>
              <w:rPr>
                <w:rFonts w:hint="eastAsia"/>
                <w:kern w:val="0"/>
                <w:szCs w:val="21"/>
              </w:rPr>
              <w:t>企业固定资产原值（仅企业填报）</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万元</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≥3000</w:t>
            </w: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3</w:t>
            </w: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r>
              <w:rPr>
                <w:rFonts w:hint="eastAsia"/>
                <w:kern w:val="0"/>
                <w:szCs w:val="21"/>
              </w:rPr>
              <w:t>企业研发投入占销售收入比重（仅企业填报）</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百分比</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≥8%</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p>
        </w:tc>
      </w:tr>
      <w:tr>
        <w:tblPrEx>
          <w:tblCellMar>
            <w:top w:w="0" w:type="dxa"/>
            <w:left w:w="108" w:type="dxa"/>
            <w:bottom w:w="0" w:type="dxa"/>
            <w:right w:w="108" w:type="dxa"/>
          </w:tblCellMar>
        </w:tblPrEx>
        <w:trPr>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vMerge w:val="restart"/>
            <w:tcBorders>
              <w:top w:val="nil"/>
              <w:left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4</w:t>
            </w:r>
          </w:p>
        </w:tc>
        <w:tc>
          <w:tcPr>
            <w:tcW w:w="2386" w:type="dxa"/>
            <w:vMerge w:val="restart"/>
            <w:tcBorders>
              <w:top w:val="nil"/>
              <w:left w:val="nil"/>
              <w:right w:val="single" w:color="auto" w:sz="4" w:space="0"/>
            </w:tcBorders>
            <w:shd w:val="clear" w:color="auto" w:fill="auto"/>
            <w:noWrap w:val="0"/>
            <w:vAlign w:val="center"/>
          </w:tcPr>
          <w:p>
            <w:pPr>
              <w:widowControl/>
              <w:jc w:val="left"/>
              <w:rPr>
                <w:kern w:val="0"/>
                <w:szCs w:val="21"/>
              </w:rPr>
            </w:pPr>
            <w:r>
              <w:rPr>
                <w:rFonts w:hint="eastAsia"/>
                <w:kern w:val="0"/>
                <w:szCs w:val="21"/>
              </w:rPr>
              <w:t>工程研究中心近三年建设与运行经费（仅高校及科研院所填报）</w:t>
            </w:r>
          </w:p>
        </w:tc>
        <w:tc>
          <w:tcPr>
            <w:tcW w:w="1904" w:type="dxa"/>
            <w:tcBorders>
              <w:top w:val="nil"/>
              <w:left w:val="nil"/>
              <w:bottom w:val="single" w:color="auto" w:sz="4" w:space="0"/>
              <w:right w:val="single" w:color="auto" w:sz="4" w:space="0"/>
            </w:tcBorders>
            <w:shd w:val="clear" w:color="auto" w:fill="auto"/>
            <w:noWrap w:val="0"/>
            <w:vAlign w:val="center"/>
          </w:tcPr>
          <w:p>
            <w:pPr>
              <w:jc w:val="left"/>
              <w:rPr>
                <w:kern w:val="0"/>
                <w:szCs w:val="21"/>
              </w:rPr>
            </w:pPr>
            <w:r>
              <w:rPr>
                <w:rFonts w:hint="eastAsia"/>
                <w:kern w:val="0"/>
                <w:szCs w:val="21"/>
              </w:rPr>
              <w:t>2020年</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万元</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≥300</w:t>
            </w: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vMerge w:val="continue"/>
            <w:tcBorders>
              <w:left w:val="single" w:color="auto" w:sz="4" w:space="0"/>
              <w:right w:val="single" w:color="auto" w:sz="4" w:space="0"/>
            </w:tcBorders>
            <w:shd w:val="clear" w:color="auto" w:fill="auto"/>
            <w:noWrap w:val="0"/>
            <w:vAlign w:val="center"/>
          </w:tcPr>
          <w:p>
            <w:pPr>
              <w:widowControl/>
              <w:jc w:val="center"/>
              <w:rPr>
                <w:kern w:val="0"/>
                <w:szCs w:val="21"/>
              </w:rPr>
            </w:pPr>
          </w:p>
        </w:tc>
        <w:tc>
          <w:tcPr>
            <w:tcW w:w="2386" w:type="dxa"/>
            <w:vMerge w:val="continue"/>
            <w:tcBorders>
              <w:left w:val="nil"/>
              <w:right w:val="single" w:color="auto" w:sz="4" w:space="0"/>
            </w:tcBorders>
            <w:shd w:val="clear" w:color="auto" w:fill="auto"/>
            <w:noWrap w:val="0"/>
            <w:vAlign w:val="center"/>
          </w:tcPr>
          <w:p>
            <w:pPr>
              <w:widowControl/>
              <w:jc w:val="left"/>
              <w:rPr>
                <w:kern w:val="0"/>
                <w:szCs w:val="21"/>
              </w:rPr>
            </w:pPr>
          </w:p>
        </w:tc>
        <w:tc>
          <w:tcPr>
            <w:tcW w:w="1904" w:type="dxa"/>
            <w:tcBorders>
              <w:top w:val="nil"/>
              <w:left w:val="nil"/>
              <w:bottom w:val="single" w:color="auto" w:sz="4" w:space="0"/>
              <w:right w:val="single" w:color="auto" w:sz="4" w:space="0"/>
            </w:tcBorders>
            <w:shd w:val="clear" w:color="auto" w:fill="auto"/>
            <w:noWrap w:val="0"/>
            <w:vAlign w:val="center"/>
          </w:tcPr>
          <w:p>
            <w:pPr>
              <w:jc w:val="left"/>
              <w:rPr>
                <w:kern w:val="0"/>
                <w:szCs w:val="21"/>
              </w:rPr>
            </w:pPr>
            <w:r>
              <w:rPr>
                <w:rFonts w:hint="eastAsia"/>
                <w:kern w:val="0"/>
                <w:szCs w:val="21"/>
              </w:rPr>
              <w:t>2019年</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万元</w:t>
            </w:r>
          </w:p>
        </w:tc>
        <w:tc>
          <w:tcPr>
            <w:tcW w:w="1314" w:type="dxa"/>
            <w:tcBorders>
              <w:top w:val="nil"/>
              <w:left w:val="nil"/>
              <w:bottom w:val="single" w:color="auto" w:sz="4" w:space="0"/>
              <w:right w:val="single" w:color="auto" w:sz="4" w:space="0"/>
            </w:tcBorders>
            <w:shd w:val="clear" w:color="auto" w:fill="auto"/>
            <w:noWrap w:val="0"/>
            <w:vAlign w:val="top"/>
          </w:tcPr>
          <w:p>
            <w:pPr>
              <w:widowControl/>
              <w:jc w:val="center"/>
              <w:rPr>
                <w:kern w:val="0"/>
                <w:szCs w:val="21"/>
              </w:rPr>
            </w:pPr>
            <w:r>
              <w:rPr>
                <w:rFonts w:hint="eastAsia"/>
                <w:kern w:val="0"/>
                <w:szCs w:val="21"/>
              </w:rPr>
              <w:t>≥300</w:t>
            </w: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p>
        </w:tc>
        <w:tc>
          <w:tcPr>
            <w:tcW w:w="2386" w:type="dxa"/>
            <w:vMerge w:val="continue"/>
            <w:tcBorders>
              <w:left w:val="nil"/>
              <w:bottom w:val="single" w:color="auto" w:sz="4" w:space="0"/>
              <w:right w:val="single" w:color="auto" w:sz="4" w:space="0"/>
            </w:tcBorders>
            <w:shd w:val="clear" w:color="auto" w:fill="auto"/>
            <w:noWrap w:val="0"/>
            <w:vAlign w:val="center"/>
          </w:tcPr>
          <w:p>
            <w:pPr>
              <w:widowControl/>
              <w:jc w:val="left"/>
              <w:rPr>
                <w:kern w:val="0"/>
                <w:szCs w:val="21"/>
              </w:rPr>
            </w:pPr>
          </w:p>
        </w:tc>
        <w:tc>
          <w:tcPr>
            <w:tcW w:w="1904" w:type="dxa"/>
            <w:tcBorders>
              <w:top w:val="nil"/>
              <w:left w:val="nil"/>
              <w:bottom w:val="single" w:color="auto" w:sz="4" w:space="0"/>
              <w:right w:val="single" w:color="auto" w:sz="4" w:space="0"/>
            </w:tcBorders>
            <w:shd w:val="clear" w:color="auto" w:fill="auto"/>
            <w:noWrap w:val="0"/>
            <w:vAlign w:val="center"/>
          </w:tcPr>
          <w:p>
            <w:pPr>
              <w:jc w:val="left"/>
              <w:rPr>
                <w:kern w:val="0"/>
                <w:szCs w:val="21"/>
              </w:rPr>
            </w:pPr>
            <w:r>
              <w:rPr>
                <w:rFonts w:hint="eastAsia"/>
                <w:kern w:val="0"/>
                <w:szCs w:val="21"/>
              </w:rPr>
              <w:t>2018年</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万元</w:t>
            </w:r>
          </w:p>
        </w:tc>
        <w:tc>
          <w:tcPr>
            <w:tcW w:w="1314" w:type="dxa"/>
            <w:tcBorders>
              <w:top w:val="nil"/>
              <w:left w:val="nil"/>
              <w:bottom w:val="single" w:color="auto" w:sz="4" w:space="0"/>
              <w:right w:val="single" w:color="auto" w:sz="4" w:space="0"/>
            </w:tcBorders>
            <w:shd w:val="clear" w:color="auto" w:fill="auto"/>
            <w:noWrap w:val="0"/>
            <w:vAlign w:val="top"/>
          </w:tcPr>
          <w:p>
            <w:pPr>
              <w:widowControl/>
              <w:jc w:val="center"/>
              <w:rPr>
                <w:kern w:val="0"/>
                <w:szCs w:val="21"/>
              </w:rPr>
            </w:pPr>
            <w:r>
              <w:rPr>
                <w:rFonts w:hint="eastAsia"/>
                <w:kern w:val="0"/>
                <w:szCs w:val="21"/>
              </w:rPr>
              <w:t>≥300</w:t>
            </w: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5</w:t>
            </w: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hint="eastAsia"/>
                <w:kern w:val="0"/>
                <w:szCs w:val="21"/>
              </w:rPr>
            </w:pPr>
            <w:r>
              <w:rPr>
                <w:rFonts w:hint="eastAsia"/>
                <w:kern w:val="0"/>
                <w:szCs w:val="21"/>
              </w:rPr>
              <w:t>承担单位主持市级及以上重点科研项目数量</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项</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w:t>
            </w: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6</w:t>
            </w: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r>
              <w:rPr>
                <w:rFonts w:hint="eastAsia"/>
                <w:kern w:val="0"/>
                <w:szCs w:val="21"/>
              </w:rPr>
              <w:t>工程研究中心现有研发场所面积</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平方米</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≥1200</w:t>
            </w: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7</w:t>
            </w: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r>
              <w:rPr>
                <w:rFonts w:hint="eastAsia"/>
                <w:kern w:val="0"/>
                <w:szCs w:val="21"/>
              </w:rPr>
              <w:t>工程研究中心研发设备原值</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万元</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≥800</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p>
        </w:tc>
      </w:tr>
      <w:tr>
        <w:tblPrEx>
          <w:tblCellMar>
            <w:top w:w="0" w:type="dxa"/>
            <w:left w:w="108" w:type="dxa"/>
            <w:bottom w:w="0" w:type="dxa"/>
            <w:right w:w="108" w:type="dxa"/>
          </w:tblCellMar>
        </w:tblPrEx>
        <w:trPr>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vMerge w:val="restart"/>
            <w:tcBorders>
              <w:top w:val="nil"/>
              <w:left w:val="single" w:color="auto" w:sz="4" w:space="0"/>
              <w:right w:val="single" w:color="auto" w:sz="4" w:space="0"/>
            </w:tcBorders>
            <w:shd w:val="clear" w:color="auto" w:fill="auto"/>
            <w:noWrap w:val="0"/>
            <w:vAlign w:val="center"/>
          </w:tcPr>
          <w:p>
            <w:pPr>
              <w:jc w:val="center"/>
              <w:rPr>
                <w:kern w:val="0"/>
                <w:szCs w:val="21"/>
              </w:rPr>
            </w:pPr>
            <w:r>
              <w:rPr>
                <w:rFonts w:hint="eastAsia"/>
                <w:kern w:val="0"/>
                <w:szCs w:val="21"/>
              </w:rPr>
              <w:t>8</w:t>
            </w: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r>
              <w:rPr>
                <w:rFonts w:hint="eastAsia"/>
                <w:kern w:val="0"/>
                <w:szCs w:val="21"/>
              </w:rPr>
              <w:t>工程研究中心固定科研人员数量</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人</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≥20</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p>
        </w:tc>
      </w:tr>
      <w:tr>
        <w:tblPrEx>
          <w:tblCellMar>
            <w:top w:w="0" w:type="dxa"/>
            <w:left w:w="108" w:type="dxa"/>
            <w:bottom w:w="0" w:type="dxa"/>
            <w:right w:w="108" w:type="dxa"/>
          </w:tblCellMar>
        </w:tblPrEx>
        <w:trPr>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vMerge w:val="continue"/>
            <w:tcBorders>
              <w:left w:val="single" w:color="auto" w:sz="4" w:space="0"/>
              <w:right w:val="single" w:color="auto" w:sz="4" w:space="0"/>
            </w:tcBorders>
            <w:shd w:val="clear" w:color="auto" w:fill="auto"/>
            <w:noWrap w:val="0"/>
            <w:vAlign w:val="center"/>
          </w:tcPr>
          <w:p>
            <w:pPr>
              <w:widowControl/>
              <w:jc w:val="center"/>
              <w:rPr>
                <w:kern w:val="0"/>
                <w:szCs w:val="21"/>
              </w:rPr>
            </w:pP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ind w:firstLine="428" w:firstLineChars="204"/>
              <w:jc w:val="left"/>
              <w:rPr>
                <w:rFonts w:hint="eastAsia"/>
                <w:kern w:val="0"/>
                <w:szCs w:val="21"/>
              </w:rPr>
            </w:pPr>
            <w:r>
              <w:rPr>
                <w:rFonts w:hint="eastAsia"/>
                <w:kern w:val="0"/>
                <w:szCs w:val="21"/>
              </w:rPr>
              <w:t>其中：</w:t>
            </w:r>
            <w:r>
              <w:rPr>
                <w:kern w:val="0"/>
                <w:szCs w:val="21"/>
              </w:rPr>
              <w:t>技术带头人</w:t>
            </w:r>
            <w:r>
              <w:rPr>
                <w:rFonts w:hint="eastAsia"/>
                <w:kern w:val="0"/>
                <w:szCs w:val="21"/>
              </w:rPr>
              <w:t>人数</w:t>
            </w:r>
          </w:p>
        </w:tc>
        <w:tc>
          <w:tcPr>
            <w:tcW w:w="1560" w:type="dxa"/>
            <w:tcBorders>
              <w:top w:val="nil"/>
              <w:left w:val="nil"/>
              <w:bottom w:val="single" w:color="auto" w:sz="4" w:space="0"/>
              <w:right w:val="single" w:color="auto" w:sz="4" w:space="0"/>
            </w:tcBorders>
            <w:shd w:val="clear" w:color="auto" w:fill="auto"/>
            <w:noWrap w:val="0"/>
            <w:vAlign w:val="top"/>
          </w:tcPr>
          <w:p>
            <w:pPr>
              <w:widowControl/>
              <w:jc w:val="center"/>
              <w:rPr>
                <w:kern w:val="0"/>
                <w:szCs w:val="21"/>
              </w:rPr>
            </w:pPr>
            <w:r>
              <w:rPr>
                <w:kern w:val="0"/>
                <w:szCs w:val="21"/>
              </w:rPr>
              <w:t>人</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p>
        </w:tc>
      </w:tr>
      <w:tr>
        <w:tblPrEx>
          <w:tblCellMar>
            <w:top w:w="0" w:type="dxa"/>
            <w:left w:w="108" w:type="dxa"/>
            <w:bottom w:w="0" w:type="dxa"/>
            <w:right w:w="108" w:type="dxa"/>
          </w:tblCellMar>
        </w:tblPrEx>
        <w:trPr>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vMerge w:val="continue"/>
            <w:tcBorders>
              <w:left w:val="single" w:color="auto" w:sz="4" w:space="0"/>
              <w:right w:val="single" w:color="auto" w:sz="4" w:space="0"/>
            </w:tcBorders>
            <w:shd w:val="clear" w:color="auto" w:fill="auto"/>
            <w:noWrap w:val="0"/>
            <w:vAlign w:val="center"/>
          </w:tcPr>
          <w:p>
            <w:pPr>
              <w:widowControl/>
              <w:jc w:val="center"/>
              <w:rPr>
                <w:kern w:val="0"/>
                <w:szCs w:val="21"/>
              </w:rPr>
            </w:pP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ind w:firstLine="1050" w:firstLineChars="500"/>
              <w:jc w:val="left"/>
              <w:rPr>
                <w:rFonts w:hint="eastAsia"/>
                <w:kern w:val="0"/>
                <w:szCs w:val="21"/>
              </w:rPr>
            </w:pPr>
            <w:r>
              <w:rPr>
                <w:rFonts w:hint="eastAsia"/>
                <w:kern w:val="0"/>
                <w:szCs w:val="21"/>
              </w:rPr>
              <w:t>高级专家人数</w:t>
            </w:r>
          </w:p>
        </w:tc>
        <w:tc>
          <w:tcPr>
            <w:tcW w:w="1560" w:type="dxa"/>
            <w:tcBorders>
              <w:top w:val="nil"/>
              <w:left w:val="nil"/>
              <w:bottom w:val="single" w:color="auto" w:sz="4" w:space="0"/>
              <w:right w:val="single" w:color="auto" w:sz="4" w:space="0"/>
            </w:tcBorders>
            <w:shd w:val="clear" w:color="auto" w:fill="auto"/>
            <w:noWrap w:val="0"/>
            <w:vAlign w:val="top"/>
          </w:tcPr>
          <w:p>
            <w:pPr>
              <w:widowControl/>
              <w:jc w:val="center"/>
              <w:rPr>
                <w:kern w:val="0"/>
                <w:szCs w:val="21"/>
              </w:rPr>
            </w:pPr>
            <w:r>
              <w:rPr>
                <w:kern w:val="0"/>
                <w:szCs w:val="21"/>
              </w:rPr>
              <w:t>人</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p>
        </w:tc>
      </w:tr>
      <w:tr>
        <w:tblPrEx>
          <w:tblCellMar>
            <w:top w:w="0" w:type="dxa"/>
            <w:left w:w="108" w:type="dxa"/>
            <w:bottom w:w="0" w:type="dxa"/>
            <w:right w:w="108" w:type="dxa"/>
          </w:tblCellMar>
        </w:tblPrEx>
        <w:trPr>
          <w:cantSplit/>
          <w:trHeight w:val="340" w:hRule="atLeast"/>
          <w:jc w:val="center"/>
        </w:trPr>
        <w:tc>
          <w:tcPr>
            <w:tcW w:w="1080" w:type="dxa"/>
            <w:vMerge w:val="continue"/>
            <w:tcBorders>
              <w:left w:val="single" w:color="auto" w:sz="4" w:space="0"/>
              <w:bottom w:val="single" w:color="auto" w:sz="4" w:space="0"/>
              <w:right w:val="single" w:color="auto" w:sz="4" w:space="0"/>
            </w:tcBorders>
            <w:shd w:val="clear" w:color="auto" w:fill="auto"/>
            <w:noWrap w:val="0"/>
            <w:vAlign w:val="top"/>
          </w:tcPr>
          <w:p>
            <w:pPr>
              <w:widowControl/>
              <w:jc w:val="center"/>
              <w:rPr>
                <w:kern w:val="0"/>
                <w:szCs w:val="21"/>
              </w:rPr>
            </w:pPr>
          </w:p>
        </w:tc>
        <w:tc>
          <w:tcPr>
            <w:tcW w:w="108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hint="eastAsia"/>
                <w:kern w:val="0"/>
                <w:szCs w:val="21"/>
              </w:rPr>
            </w:pPr>
            <w:r>
              <w:rPr>
                <w:rFonts w:hint="eastAsia"/>
                <w:kern w:val="0"/>
                <w:szCs w:val="21"/>
              </w:rPr>
              <w:t xml:space="preserve">          博士人数</w:t>
            </w:r>
          </w:p>
        </w:tc>
        <w:tc>
          <w:tcPr>
            <w:tcW w:w="1560" w:type="dxa"/>
            <w:tcBorders>
              <w:top w:val="nil"/>
              <w:left w:val="nil"/>
              <w:bottom w:val="single" w:color="auto" w:sz="4" w:space="0"/>
              <w:right w:val="single" w:color="auto" w:sz="4" w:space="0"/>
            </w:tcBorders>
            <w:shd w:val="clear" w:color="auto" w:fill="auto"/>
            <w:noWrap w:val="0"/>
            <w:vAlign w:val="top"/>
          </w:tcPr>
          <w:p>
            <w:pPr>
              <w:widowControl/>
              <w:jc w:val="center"/>
              <w:rPr>
                <w:kern w:val="0"/>
                <w:szCs w:val="21"/>
              </w:rPr>
            </w:pPr>
            <w:r>
              <w:rPr>
                <w:kern w:val="0"/>
                <w:szCs w:val="21"/>
              </w:rPr>
              <w:t>人</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p>
        </w:tc>
      </w:tr>
      <w:tr>
        <w:tblPrEx>
          <w:tblCellMar>
            <w:top w:w="0" w:type="dxa"/>
            <w:left w:w="108" w:type="dxa"/>
            <w:bottom w:w="0" w:type="dxa"/>
            <w:right w:w="108" w:type="dxa"/>
          </w:tblCellMar>
        </w:tblPrEx>
        <w:trPr>
          <w:cantSplit/>
          <w:trHeight w:val="340" w:hRule="atLeast"/>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hint="eastAsia"/>
                <w:kern w:val="0"/>
                <w:szCs w:val="21"/>
              </w:rPr>
            </w:pPr>
            <w:r>
              <w:rPr>
                <w:rFonts w:hint="eastAsia"/>
                <w:kern w:val="0"/>
                <w:szCs w:val="21"/>
              </w:rPr>
              <w:t>进阶</w:t>
            </w:r>
          </w:p>
          <w:p>
            <w:pPr>
              <w:widowControl/>
              <w:jc w:val="center"/>
              <w:rPr>
                <w:kern w:val="0"/>
                <w:szCs w:val="21"/>
              </w:rPr>
            </w:pPr>
            <w:r>
              <w:rPr>
                <w:rFonts w:hint="eastAsia"/>
                <w:kern w:val="0"/>
                <w:szCs w:val="21"/>
              </w:rPr>
              <w:t>指标</w:t>
            </w:r>
          </w:p>
        </w:tc>
        <w:tc>
          <w:tcPr>
            <w:tcW w:w="1080" w:type="dxa"/>
            <w:tcBorders>
              <w:top w:val="nil"/>
              <w:left w:val="single" w:color="auto" w:sz="4" w:space="0"/>
              <w:right w:val="single" w:color="auto" w:sz="4" w:space="0"/>
            </w:tcBorders>
            <w:noWrap w:val="0"/>
            <w:vAlign w:val="center"/>
          </w:tcPr>
          <w:p>
            <w:pPr>
              <w:jc w:val="center"/>
              <w:rPr>
                <w:rFonts w:ascii="黑体" w:hAnsi="黑体" w:eastAsia="黑体"/>
                <w:kern w:val="0"/>
                <w:szCs w:val="21"/>
              </w:rPr>
            </w:pPr>
            <w:r>
              <w:rPr>
                <w:rFonts w:hint="eastAsia"/>
                <w:kern w:val="0"/>
                <w:szCs w:val="21"/>
              </w:rPr>
              <w:t>9</w:t>
            </w:r>
          </w:p>
        </w:tc>
        <w:tc>
          <w:tcPr>
            <w:tcW w:w="4290" w:type="dxa"/>
            <w:gridSpan w:val="2"/>
            <w:tcBorders>
              <w:top w:val="nil"/>
              <w:left w:val="nil"/>
              <w:right w:val="single" w:color="auto" w:sz="4" w:space="0"/>
            </w:tcBorders>
            <w:noWrap w:val="0"/>
            <w:vAlign w:val="center"/>
          </w:tcPr>
          <w:p>
            <w:pPr>
              <w:jc w:val="left"/>
              <w:rPr>
                <w:rFonts w:ascii="黑体" w:hAnsi="黑体" w:eastAsia="黑体"/>
                <w:kern w:val="0"/>
                <w:szCs w:val="21"/>
              </w:rPr>
            </w:pPr>
            <w:r>
              <w:rPr>
                <w:rFonts w:hint="eastAsia"/>
                <w:kern w:val="0"/>
                <w:szCs w:val="21"/>
              </w:rPr>
              <w:t>2020</w:t>
            </w:r>
            <w:r>
              <w:rPr>
                <w:kern w:val="0"/>
                <w:szCs w:val="21"/>
              </w:rPr>
              <w:t>年科技经费支出额</w:t>
            </w:r>
          </w:p>
        </w:tc>
        <w:tc>
          <w:tcPr>
            <w:tcW w:w="1560" w:type="dxa"/>
            <w:tcBorders>
              <w:top w:val="nil"/>
              <w:left w:val="nil"/>
              <w:right w:val="single" w:color="auto" w:sz="4" w:space="0"/>
            </w:tcBorders>
            <w:noWrap w:val="0"/>
            <w:vAlign w:val="center"/>
          </w:tcPr>
          <w:p>
            <w:pPr>
              <w:jc w:val="center"/>
              <w:rPr>
                <w:rFonts w:ascii="黑体" w:hAnsi="黑体" w:eastAsia="黑体"/>
                <w:kern w:val="0"/>
                <w:szCs w:val="21"/>
              </w:rPr>
            </w:pPr>
            <w:r>
              <w:rPr>
                <w:rFonts w:hint="eastAsia"/>
                <w:szCs w:val="21"/>
              </w:rPr>
              <w:t>万元</w:t>
            </w:r>
          </w:p>
        </w:tc>
        <w:tc>
          <w:tcPr>
            <w:tcW w:w="2394" w:type="dxa"/>
            <w:gridSpan w:val="2"/>
            <w:tcBorders>
              <w:top w:val="nil"/>
              <w:left w:val="nil"/>
              <w:right w:val="single" w:color="auto" w:sz="4" w:space="0"/>
            </w:tcBorders>
            <w:noWrap w:val="0"/>
            <w:vAlign w:val="center"/>
          </w:tcPr>
          <w:p>
            <w:pPr>
              <w:widowControl/>
              <w:jc w:val="center"/>
              <w:rPr>
                <w:rFonts w:ascii="黑体" w:hAnsi="黑体" w:eastAsia="黑体"/>
                <w:kern w:val="0"/>
                <w:szCs w:val="21"/>
              </w:rPr>
            </w:pPr>
          </w:p>
        </w:tc>
      </w:tr>
      <w:tr>
        <w:tblPrEx>
          <w:tblCellMar>
            <w:top w:w="0" w:type="dxa"/>
            <w:left w:w="108" w:type="dxa"/>
            <w:bottom w:w="0" w:type="dxa"/>
            <w:right w:w="108" w:type="dxa"/>
          </w:tblCellMar>
        </w:tblPrEx>
        <w:trPr>
          <w:cantSplit/>
          <w:trHeight w:val="340" w:hRule="atLeast"/>
          <w:jc w:val="center"/>
        </w:trPr>
        <w:tc>
          <w:tcPr>
            <w:tcW w:w="1080" w:type="dxa"/>
            <w:vMerge w:val="continue"/>
            <w:tcBorders>
              <w:left w:val="single" w:color="auto" w:sz="4" w:space="0"/>
              <w:right w:val="single" w:color="auto" w:sz="4" w:space="0"/>
            </w:tcBorders>
            <w:noWrap w:val="0"/>
            <w:vAlign w:val="top"/>
          </w:tcPr>
          <w:p>
            <w:pPr>
              <w:widowControl/>
              <w:jc w:val="center"/>
              <w:rPr>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rFonts w:hint="eastAsia"/>
                <w:kern w:val="0"/>
                <w:szCs w:val="21"/>
              </w:rPr>
              <w:t>10</w:t>
            </w:r>
          </w:p>
        </w:tc>
        <w:tc>
          <w:tcPr>
            <w:tcW w:w="4290" w:type="dxa"/>
            <w:gridSpan w:val="2"/>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rFonts w:hint="eastAsia"/>
                <w:kern w:val="0"/>
                <w:szCs w:val="21"/>
              </w:rPr>
              <w:t>近三年开展科研项目数</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rFonts w:hint="eastAsia"/>
                <w:kern w:val="0"/>
                <w:szCs w:val="21"/>
              </w:rPr>
              <w:t>项</w:t>
            </w:r>
          </w:p>
        </w:tc>
        <w:tc>
          <w:tcPr>
            <w:tcW w:w="2394" w:type="dxa"/>
            <w:gridSpan w:val="2"/>
            <w:tcBorders>
              <w:top w:val="single" w:color="auto" w:sz="4" w:space="0"/>
              <w:left w:val="nil"/>
              <w:bottom w:val="single" w:color="auto" w:sz="4" w:space="0"/>
              <w:right w:val="single" w:color="auto" w:sz="4" w:space="0"/>
            </w:tcBorders>
            <w:noWrap w:val="0"/>
            <w:vAlign w:val="center"/>
          </w:tcPr>
          <w:p>
            <w:pPr>
              <w:widowControl/>
              <w:jc w:val="left"/>
              <w:rPr>
                <w:kern w:val="0"/>
                <w:szCs w:val="21"/>
              </w:rPr>
            </w:pPr>
          </w:p>
        </w:tc>
      </w:tr>
      <w:tr>
        <w:tblPrEx>
          <w:tblCellMar>
            <w:top w:w="0" w:type="dxa"/>
            <w:left w:w="108" w:type="dxa"/>
            <w:bottom w:w="0" w:type="dxa"/>
            <w:right w:w="108" w:type="dxa"/>
          </w:tblCellMar>
        </w:tblPrEx>
        <w:trPr>
          <w:cantSplit/>
          <w:trHeight w:val="340" w:hRule="atLeast"/>
          <w:jc w:val="center"/>
        </w:trPr>
        <w:tc>
          <w:tcPr>
            <w:tcW w:w="1080" w:type="dxa"/>
            <w:vMerge w:val="continue"/>
            <w:tcBorders>
              <w:left w:val="single" w:color="auto" w:sz="4" w:space="0"/>
              <w:right w:val="single" w:color="auto" w:sz="4" w:space="0"/>
            </w:tcBorders>
            <w:noWrap w:val="0"/>
            <w:vAlign w:val="top"/>
          </w:tcPr>
          <w:p>
            <w:pPr>
              <w:widowControl/>
              <w:jc w:val="center"/>
              <w:rPr>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p>
        </w:tc>
        <w:tc>
          <w:tcPr>
            <w:tcW w:w="4290" w:type="dxa"/>
            <w:gridSpan w:val="2"/>
            <w:tcBorders>
              <w:top w:val="nil"/>
              <w:left w:val="nil"/>
              <w:bottom w:val="single" w:color="auto" w:sz="4" w:space="0"/>
              <w:right w:val="single" w:color="auto" w:sz="4" w:space="0"/>
            </w:tcBorders>
            <w:noWrap w:val="0"/>
            <w:vAlign w:val="center"/>
          </w:tcPr>
          <w:p>
            <w:pPr>
              <w:widowControl/>
              <w:ind w:firstLine="390" w:firstLineChars="186"/>
              <w:jc w:val="left"/>
              <w:rPr>
                <w:kern w:val="0"/>
                <w:szCs w:val="21"/>
              </w:rPr>
            </w:pPr>
            <w:r>
              <w:rPr>
                <w:rFonts w:hint="eastAsia"/>
                <w:kern w:val="0"/>
                <w:szCs w:val="21"/>
              </w:rPr>
              <w:t>其中：国家级省部级科研项目数</w:t>
            </w:r>
          </w:p>
        </w:tc>
        <w:tc>
          <w:tcPr>
            <w:tcW w:w="1560" w:type="dxa"/>
            <w:tcBorders>
              <w:top w:val="nil"/>
              <w:left w:val="nil"/>
              <w:bottom w:val="single" w:color="auto" w:sz="4" w:space="0"/>
              <w:right w:val="single" w:color="auto" w:sz="4" w:space="0"/>
            </w:tcBorders>
            <w:noWrap w:val="0"/>
            <w:vAlign w:val="top"/>
          </w:tcPr>
          <w:p>
            <w:pPr>
              <w:widowControl/>
              <w:jc w:val="center"/>
              <w:rPr>
                <w:kern w:val="0"/>
                <w:szCs w:val="21"/>
              </w:rPr>
            </w:pPr>
            <w:r>
              <w:rPr>
                <w:rFonts w:hint="eastAsia"/>
                <w:kern w:val="0"/>
                <w:szCs w:val="21"/>
              </w:rPr>
              <w:t>项</w:t>
            </w:r>
          </w:p>
        </w:tc>
        <w:tc>
          <w:tcPr>
            <w:tcW w:w="2394" w:type="dxa"/>
            <w:gridSpan w:val="2"/>
            <w:tcBorders>
              <w:top w:val="nil"/>
              <w:left w:val="nil"/>
              <w:bottom w:val="single" w:color="auto" w:sz="4" w:space="0"/>
              <w:right w:val="single" w:color="auto" w:sz="4" w:space="0"/>
            </w:tcBorders>
            <w:noWrap w:val="0"/>
            <w:vAlign w:val="center"/>
          </w:tcPr>
          <w:p>
            <w:pPr>
              <w:widowControl/>
              <w:jc w:val="left"/>
              <w:rPr>
                <w:kern w:val="0"/>
                <w:szCs w:val="21"/>
              </w:rPr>
            </w:pPr>
          </w:p>
        </w:tc>
      </w:tr>
      <w:tr>
        <w:tblPrEx>
          <w:tblCellMar>
            <w:top w:w="0" w:type="dxa"/>
            <w:left w:w="108" w:type="dxa"/>
            <w:bottom w:w="0" w:type="dxa"/>
            <w:right w:w="108" w:type="dxa"/>
          </w:tblCellMar>
        </w:tblPrEx>
        <w:trPr>
          <w:cantSplit/>
          <w:trHeight w:val="340" w:hRule="atLeast"/>
          <w:jc w:val="center"/>
        </w:trPr>
        <w:tc>
          <w:tcPr>
            <w:tcW w:w="1080" w:type="dxa"/>
            <w:vMerge w:val="continue"/>
            <w:tcBorders>
              <w:left w:val="single" w:color="auto" w:sz="4" w:space="0"/>
              <w:right w:val="single" w:color="auto" w:sz="4" w:space="0"/>
            </w:tcBorders>
            <w:noWrap w:val="0"/>
            <w:vAlign w:val="top"/>
          </w:tcPr>
          <w:p>
            <w:pPr>
              <w:widowControl/>
              <w:jc w:val="center"/>
              <w:rPr>
                <w:kern w:val="0"/>
                <w:szCs w:val="21"/>
              </w:rPr>
            </w:pPr>
          </w:p>
        </w:tc>
        <w:tc>
          <w:tcPr>
            <w:tcW w:w="1080" w:type="dxa"/>
            <w:vMerge w:val="restart"/>
            <w:tcBorders>
              <w:top w:val="nil"/>
              <w:left w:val="single" w:color="auto" w:sz="4" w:space="0"/>
              <w:right w:val="single" w:color="auto" w:sz="4" w:space="0"/>
            </w:tcBorders>
            <w:noWrap w:val="0"/>
            <w:vAlign w:val="center"/>
          </w:tcPr>
          <w:p>
            <w:pPr>
              <w:widowControl/>
              <w:ind w:firstLine="390" w:firstLineChars="186"/>
              <w:jc w:val="left"/>
              <w:rPr>
                <w:kern w:val="0"/>
                <w:szCs w:val="21"/>
              </w:rPr>
            </w:pPr>
            <w:r>
              <w:rPr>
                <w:rFonts w:hint="eastAsia"/>
                <w:kern w:val="0"/>
                <w:szCs w:val="21"/>
              </w:rPr>
              <w:t>11</w:t>
            </w:r>
          </w:p>
        </w:tc>
        <w:tc>
          <w:tcPr>
            <w:tcW w:w="4290" w:type="dxa"/>
            <w:gridSpan w:val="2"/>
            <w:tcBorders>
              <w:top w:val="nil"/>
              <w:left w:val="nil"/>
              <w:bottom w:val="single" w:color="auto" w:sz="4" w:space="0"/>
              <w:right w:val="single" w:color="auto" w:sz="4" w:space="0"/>
            </w:tcBorders>
            <w:noWrap w:val="0"/>
            <w:vAlign w:val="center"/>
          </w:tcPr>
          <w:p>
            <w:pPr>
              <w:widowControl/>
              <w:jc w:val="left"/>
              <w:rPr>
                <w:kern w:val="0"/>
                <w:szCs w:val="21"/>
              </w:rPr>
            </w:pPr>
            <w:r>
              <w:rPr>
                <w:rFonts w:hint="eastAsia"/>
                <w:kern w:val="0"/>
                <w:szCs w:val="21"/>
              </w:rPr>
              <w:t>近三年获得</w:t>
            </w:r>
            <w:r>
              <w:rPr>
                <w:kern w:val="0"/>
                <w:szCs w:val="21"/>
              </w:rPr>
              <w:t>专利授权数量</w:t>
            </w:r>
          </w:p>
        </w:tc>
        <w:tc>
          <w:tcPr>
            <w:tcW w:w="1560" w:type="dxa"/>
            <w:tcBorders>
              <w:top w:val="nil"/>
              <w:left w:val="nil"/>
              <w:bottom w:val="single" w:color="auto" w:sz="4" w:space="0"/>
              <w:right w:val="single" w:color="auto" w:sz="4" w:space="0"/>
            </w:tcBorders>
            <w:noWrap w:val="0"/>
            <w:vAlign w:val="top"/>
          </w:tcPr>
          <w:p>
            <w:pPr>
              <w:widowControl/>
              <w:jc w:val="center"/>
              <w:rPr>
                <w:kern w:val="0"/>
                <w:szCs w:val="21"/>
              </w:rPr>
            </w:pPr>
            <w:r>
              <w:rPr>
                <w:rFonts w:hint="eastAsia"/>
                <w:kern w:val="0"/>
                <w:szCs w:val="21"/>
              </w:rPr>
              <w:t>项</w:t>
            </w:r>
          </w:p>
        </w:tc>
        <w:tc>
          <w:tcPr>
            <w:tcW w:w="2394" w:type="dxa"/>
            <w:gridSpan w:val="2"/>
            <w:tcBorders>
              <w:top w:val="nil"/>
              <w:left w:val="nil"/>
              <w:bottom w:val="single" w:color="auto" w:sz="4" w:space="0"/>
              <w:right w:val="single" w:color="auto" w:sz="4" w:space="0"/>
            </w:tcBorders>
            <w:noWrap w:val="0"/>
            <w:vAlign w:val="center"/>
          </w:tcPr>
          <w:p>
            <w:pPr>
              <w:widowControl/>
              <w:jc w:val="left"/>
              <w:rPr>
                <w:kern w:val="0"/>
                <w:szCs w:val="21"/>
              </w:rPr>
            </w:pPr>
          </w:p>
        </w:tc>
      </w:tr>
      <w:tr>
        <w:tblPrEx>
          <w:tblCellMar>
            <w:top w:w="0" w:type="dxa"/>
            <w:left w:w="108" w:type="dxa"/>
            <w:bottom w:w="0" w:type="dxa"/>
            <w:right w:w="108" w:type="dxa"/>
          </w:tblCellMar>
        </w:tblPrEx>
        <w:trPr>
          <w:cantSplit/>
          <w:trHeight w:val="340" w:hRule="atLeast"/>
          <w:jc w:val="center"/>
        </w:trPr>
        <w:tc>
          <w:tcPr>
            <w:tcW w:w="1080" w:type="dxa"/>
            <w:vMerge w:val="continue"/>
            <w:tcBorders>
              <w:left w:val="single" w:color="auto" w:sz="4" w:space="0"/>
              <w:right w:val="single" w:color="auto" w:sz="4" w:space="0"/>
            </w:tcBorders>
            <w:noWrap w:val="0"/>
            <w:vAlign w:val="top"/>
          </w:tcPr>
          <w:p>
            <w:pPr>
              <w:widowControl/>
              <w:jc w:val="center"/>
              <w:rPr>
                <w:kern w:val="0"/>
                <w:szCs w:val="21"/>
              </w:rPr>
            </w:pPr>
          </w:p>
        </w:tc>
        <w:tc>
          <w:tcPr>
            <w:tcW w:w="1080" w:type="dxa"/>
            <w:vMerge w:val="continue"/>
            <w:tcBorders>
              <w:left w:val="single" w:color="auto" w:sz="4" w:space="0"/>
              <w:bottom w:val="single" w:color="auto" w:sz="4" w:space="0"/>
              <w:right w:val="single" w:color="auto" w:sz="4" w:space="0"/>
            </w:tcBorders>
            <w:noWrap w:val="0"/>
            <w:vAlign w:val="center"/>
          </w:tcPr>
          <w:p>
            <w:pPr>
              <w:widowControl/>
              <w:ind w:firstLine="390" w:firstLineChars="186"/>
              <w:jc w:val="left"/>
              <w:rPr>
                <w:kern w:val="0"/>
                <w:szCs w:val="21"/>
              </w:rPr>
            </w:pPr>
          </w:p>
        </w:tc>
        <w:tc>
          <w:tcPr>
            <w:tcW w:w="4290" w:type="dxa"/>
            <w:gridSpan w:val="2"/>
            <w:tcBorders>
              <w:top w:val="nil"/>
              <w:left w:val="nil"/>
              <w:bottom w:val="single" w:color="auto" w:sz="4" w:space="0"/>
              <w:right w:val="single" w:color="auto" w:sz="4" w:space="0"/>
            </w:tcBorders>
            <w:noWrap w:val="0"/>
            <w:vAlign w:val="center"/>
          </w:tcPr>
          <w:p>
            <w:pPr>
              <w:widowControl/>
              <w:ind w:firstLine="390" w:firstLineChars="186"/>
              <w:jc w:val="left"/>
              <w:rPr>
                <w:kern w:val="0"/>
                <w:szCs w:val="21"/>
              </w:rPr>
            </w:pPr>
            <w:r>
              <w:rPr>
                <w:kern w:val="0"/>
                <w:szCs w:val="21"/>
              </w:rPr>
              <w:t>其中：发明专利授权数量</w:t>
            </w:r>
          </w:p>
        </w:tc>
        <w:tc>
          <w:tcPr>
            <w:tcW w:w="1560" w:type="dxa"/>
            <w:tcBorders>
              <w:top w:val="nil"/>
              <w:left w:val="nil"/>
              <w:bottom w:val="single" w:color="auto" w:sz="4" w:space="0"/>
              <w:right w:val="single" w:color="auto" w:sz="4" w:space="0"/>
            </w:tcBorders>
            <w:noWrap w:val="0"/>
            <w:vAlign w:val="top"/>
          </w:tcPr>
          <w:p>
            <w:pPr>
              <w:widowControl/>
              <w:jc w:val="center"/>
              <w:rPr>
                <w:kern w:val="0"/>
                <w:szCs w:val="21"/>
              </w:rPr>
            </w:pPr>
            <w:r>
              <w:rPr>
                <w:rFonts w:hint="eastAsia"/>
                <w:kern w:val="0"/>
                <w:szCs w:val="21"/>
              </w:rPr>
              <w:t>项</w:t>
            </w:r>
          </w:p>
        </w:tc>
        <w:tc>
          <w:tcPr>
            <w:tcW w:w="2394" w:type="dxa"/>
            <w:gridSpan w:val="2"/>
            <w:tcBorders>
              <w:top w:val="nil"/>
              <w:left w:val="nil"/>
              <w:bottom w:val="single" w:color="auto" w:sz="4" w:space="0"/>
              <w:right w:val="single" w:color="auto" w:sz="4" w:space="0"/>
            </w:tcBorders>
            <w:noWrap w:val="0"/>
            <w:vAlign w:val="center"/>
          </w:tcPr>
          <w:p>
            <w:pPr>
              <w:widowControl/>
              <w:jc w:val="left"/>
              <w:rPr>
                <w:kern w:val="0"/>
                <w:szCs w:val="21"/>
              </w:rPr>
            </w:pPr>
          </w:p>
        </w:tc>
      </w:tr>
      <w:tr>
        <w:tblPrEx>
          <w:tblCellMar>
            <w:top w:w="0" w:type="dxa"/>
            <w:left w:w="108" w:type="dxa"/>
            <w:bottom w:w="0" w:type="dxa"/>
            <w:right w:w="108" w:type="dxa"/>
          </w:tblCellMar>
        </w:tblPrEx>
        <w:trPr>
          <w:cantSplit/>
          <w:trHeight w:val="340" w:hRule="atLeast"/>
          <w:jc w:val="center"/>
        </w:trPr>
        <w:tc>
          <w:tcPr>
            <w:tcW w:w="1080" w:type="dxa"/>
            <w:vMerge w:val="continue"/>
            <w:tcBorders>
              <w:left w:val="single" w:color="auto" w:sz="4" w:space="0"/>
              <w:right w:val="single" w:color="auto" w:sz="4" w:space="0"/>
            </w:tcBorders>
            <w:noWrap w:val="0"/>
            <w:vAlign w:val="top"/>
          </w:tcPr>
          <w:p>
            <w:pPr>
              <w:widowControl/>
              <w:jc w:val="center"/>
              <w:rPr>
                <w:kern w:val="0"/>
                <w:szCs w:val="21"/>
              </w:rPr>
            </w:pPr>
          </w:p>
        </w:tc>
        <w:tc>
          <w:tcPr>
            <w:tcW w:w="1080" w:type="dxa"/>
            <w:tcBorders>
              <w:top w:val="nil"/>
              <w:left w:val="single" w:color="auto" w:sz="4" w:space="0"/>
              <w:right w:val="single" w:color="auto" w:sz="4" w:space="0"/>
            </w:tcBorders>
            <w:noWrap w:val="0"/>
            <w:vAlign w:val="center"/>
          </w:tcPr>
          <w:p>
            <w:pPr>
              <w:widowControl/>
              <w:ind w:firstLine="390" w:firstLineChars="186"/>
              <w:jc w:val="left"/>
              <w:rPr>
                <w:kern w:val="0"/>
                <w:szCs w:val="21"/>
              </w:rPr>
            </w:pPr>
            <w:r>
              <w:rPr>
                <w:rFonts w:hint="eastAsia"/>
                <w:kern w:val="0"/>
                <w:szCs w:val="21"/>
              </w:rPr>
              <w:t>12</w:t>
            </w:r>
          </w:p>
        </w:tc>
        <w:tc>
          <w:tcPr>
            <w:tcW w:w="4290" w:type="dxa"/>
            <w:gridSpan w:val="2"/>
            <w:tcBorders>
              <w:top w:val="nil"/>
              <w:left w:val="nil"/>
              <w:right w:val="single" w:color="auto" w:sz="4" w:space="0"/>
            </w:tcBorders>
            <w:noWrap w:val="0"/>
            <w:vAlign w:val="center"/>
          </w:tcPr>
          <w:p>
            <w:pPr>
              <w:widowControl/>
              <w:jc w:val="left"/>
              <w:rPr>
                <w:kern w:val="0"/>
                <w:szCs w:val="21"/>
              </w:rPr>
            </w:pPr>
            <w:r>
              <w:rPr>
                <w:rFonts w:hint="eastAsia"/>
                <w:kern w:val="0"/>
                <w:szCs w:val="21"/>
              </w:rPr>
              <w:t>近三年</w:t>
            </w:r>
            <w:r>
              <w:rPr>
                <w:kern w:val="0"/>
                <w:szCs w:val="21"/>
              </w:rPr>
              <w:t>科技成果</w:t>
            </w:r>
            <w:r>
              <w:rPr>
                <w:rFonts w:hint="eastAsia"/>
                <w:kern w:val="0"/>
                <w:szCs w:val="21"/>
              </w:rPr>
              <w:t>获得</w:t>
            </w:r>
            <w:r>
              <w:rPr>
                <w:kern w:val="0"/>
                <w:szCs w:val="21"/>
              </w:rPr>
              <w:t>市级以上</w:t>
            </w:r>
            <w:r>
              <w:rPr>
                <w:rFonts w:hint="eastAsia"/>
                <w:kern w:val="0"/>
                <w:szCs w:val="21"/>
              </w:rPr>
              <w:t>奖励</w:t>
            </w:r>
            <w:r>
              <w:rPr>
                <w:kern w:val="0"/>
                <w:szCs w:val="21"/>
              </w:rPr>
              <w:t>数量</w:t>
            </w:r>
          </w:p>
        </w:tc>
        <w:tc>
          <w:tcPr>
            <w:tcW w:w="1560" w:type="dxa"/>
            <w:tcBorders>
              <w:top w:val="nil"/>
              <w:left w:val="nil"/>
              <w:right w:val="single" w:color="auto" w:sz="4" w:space="0"/>
            </w:tcBorders>
            <w:noWrap w:val="0"/>
            <w:vAlign w:val="top"/>
          </w:tcPr>
          <w:p>
            <w:pPr>
              <w:widowControl/>
              <w:jc w:val="center"/>
              <w:rPr>
                <w:kern w:val="0"/>
                <w:szCs w:val="21"/>
              </w:rPr>
            </w:pPr>
            <w:r>
              <w:rPr>
                <w:rFonts w:hint="eastAsia"/>
                <w:kern w:val="0"/>
                <w:szCs w:val="21"/>
              </w:rPr>
              <w:t>项</w:t>
            </w:r>
          </w:p>
        </w:tc>
        <w:tc>
          <w:tcPr>
            <w:tcW w:w="2394" w:type="dxa"/>
            <w:gridSpan w:val="2"/>
            <w:tcBorders>
              <w:top w:val="nil"/>
              <w:left w:val="nil"/>
              <w:right w:val="single" w:color="auto" w:sz="4" w:space="0"/>
            </w:tcBorders>
            <w:noWrap w:val="0"/>
            <w:vAlign w:val="center"/>
          </w:tcPr>
          <w:p>
            <w:pPr>
              <w:widowControl/>
              <w:jc w:val="left"/>
              <w:rPr>
                <w:kern w:val="0"/>
                <w:szCs w:val="21"/>
              </w:rPr>
            </w:pPr>
          </w:p>
        </w:tc>
      </w:tr>
      <w:tr>
        <w:tblPrEx>
          <w:tblCellMar>
            <w:top w:w="0" w:type="dxa"/>
            <w:left w:w="108" w:type="dxa"/>
            <w:bottom w:w="0" w:type="dxa"/>
            <w:right w:w="108" w:type="dxa"/>
          </w:tblCellMar>
        </w:tblPrEx>
        <w:trPr>
          <w:cantSplit/>
          <w:trHeight w:val="340" w:hRule="atLeast"/>
          <w:jc w:val="center"/>
        </w:trPr>
        <w:tc>
          <w:tcPr>
            <w:tcW w:w="1080" w:type="dxa"/>
            <w:vMerge w:val="continue"/>
            <w:tcBorders>
              <w:left w:val="single" w:color="auto" w:sz="4" w:space="0"/>
              <w:right w:val="single" w:color="auto" w:sz="4" w:space="0"/>
            </w:tcBorders>
            <w:noWrap w:val="0"/>
            <w:vAlign w:val="top"/>
          </w:tcPr>
          <w:p>
            <w:pPr>
              <w:widowControl/>
              <w:jc w:val="center"/>
              <w:rPr>
                <w:kern w:val="0"/>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rFonts w:hint="eastAsia"/>
                <w:kern w:val="0"/>
                <w:szCs w:val="21"/>
              </w:rPr>
              <w:t>13</w:t>
            </w:r>
          </w:p>
        </w:tc>
        <w:tc>
          <w:tcPr>
            <w:tcW w:w="429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r>
              <w:rPr>
                <w:rFonts w:hint="eastAsia"/>
                <w:kern w:val="0"/>
                <w:szCs w:val="21"/>
              </w:rPr>
              <w:t>近三年</w:t>
            </w:r>
            <w:r>
              <w:rPr>
                <w:kern w:val="0"/>
                <w:szCs w:val="21"/>
              </w:rPr>
              <w:t>主持</w:t>
            </w:r>
            <w:r>
              <w:rPr>
                <w:rFonts w:hint="eastAsia"/>
                <w:kern w:val="0"/>
                <w:szCs w:val="21"/>
              </w:rPr>
              <w:t>和参加</w:t>
            </w:r>
            <w:r>
              <w:rPr>
                <w:kern w:val="0"/>
                <w:szCs w:val="21"/>
              </w:rPr>
              <w:t>制定的</w:t>
            </w:r>
            <w:r>
              <w:rPr>
                <w:rFonts w:hint="eastAsia"/>
                <w:kern w:val="0"/>
                <w:szCs w:val="21"/>
              </w:rPr>
              <w:t>国际、</w:t>
            </w:r>
            <w:r>
              <w:rPr>
                <w:kern w:val="0"/>
                <w:szCs w:val="21"/>
              </w:rPr>
              <w:t>国家、行业、地方标准数量</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项</w:t>
            </w:r>
          </w:p>
        </w:tc>
        <w:tc>
          <w:tcPr>
            <w:tcW w:w="2394" w:type="dxa"/>
            <w:gridSpan w:val="2"/>
            <w:tcBorders>
              <w:top w:val="single" w:color="auto" w:sz="4" w:space="0"/>
              <w:left w:val="nil"/>
              <w:bottom w:val="single" w:color="auto" w:sz="4" w:space="0"/>
              <w:right w:val="single" w:color="auto" w:sz="4" w:space="0"/>
            </w:tcBorders>
            <w:noWrap w:val="0"/>
            <w:vAlign w:val="center"/>
          </w:tcPr>
          <w:p>
            <w:pPr>
              <w:widowControl/>
              <w:jc w:val="left"/>
              <w:rPr>
                <w:kern w:val="0"/>
                <w:szCs w:val="21"/>
              </w:rPr>
            </w:pPr>
          </w:p>
        </w:tc>
      </w:tr>
      <w:tr>
        <w:tblPrEx>
          <w:tblCellMar>
            <w:top w:w="0" w:type="dxa"/>
            <w:left w:w="108" w:type="dxa"/>
            <w:bottom w:w="0" w:type="dxa"/>
            <w:right w:w="108" w:type="dxa"/>
          </w:tblCellMar>
        </w:tblPrEx>
        <w:trPr>
          <w:cantSplit/>
          <w:trHeight w:val="340" w:hRule="atLeast"/>
          <w:jc w:val="center"/>
        </w:trPr>
        <w:tc>
          <w:tcPr>
            <w:tcW w:w="1080" w:type="dxa"/>
            <w:vMerge w:val="continue"/>
            <w:tcBorders>
              <w:left w:val="single" w:color="auto" w:sz="4" w:space="0"/>
              <w:right w:val="single" w:color="auto" w:sz="4" w:space="0"/>
            </w:tcBorders>
            <w:noWrap w:val="0"/>
            <w:vAlign w:val="top"/>
          </w:tcPr>
          <w:p>
            <w:pPr>
              <w:widowControl/>
              <w:jc w:val="center"/>
              <w:rPr>
                <w:kern w:val="0"/>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rFonts w:hint="eastAsia"/>
                <w:kern w:val="0"/>
                <w:szCs w:val="21"/>
              </w:rPr>
              <w:t>14</w:t>
            </w:r>
          </w:p>
        </w:tc>
        <w:tc>
          <w:tcPr>
            <w:tcW w:w="429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r>
              <w:rPr>
                <w:kern w:val="0"/>
                <w:szCs w:val="21"/>
              </w:rPr>
              <w:t>技术成果转让获得的直接收入</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万元</w:t>
            </w:r>
          </w:p>
        </w:tc>
        <w:tc>
          <w:tcPr>
            <w:tcW w:w="2394" w:type="dxa"/>
            <w:gridSpan w:val="2"/>
            <w:tcBorders>
              <w:top w:val="single" w:color="auto" w:sz="4" w:space="0"/>
              <w:left w:val="nil"/>
              <w:bottom w:val="single" w:color="auto" w:sz="4" w:space="0"/>
              <w:right w:val="single" w:color="auto" w:sz="4" w:space="0"/>
            </w:tcBorders>
            <w:noWrap w:val="0"/>
            <w:vAlign w:val="center"/>
          </w:tcPr>
          <w:p>
            <w:pPr>
              <w:widowControl/>
              <w:jc w:val="left"/>
              <w:rPr>
                <w:kern w:val="0"/>
                <w:szCs w:val="21"/>
              </w:rPr>
            </w:pPr>
          </w:p>
        </w:tc>
      </w:tr>
      <w:tr>
        <w:tblPrEx>
          <w:tblCellMar>
            <w:top w:w="0" w:type="dxa"/>
            <w:left w:w="108" w:type="dxa"/>
            <w:bottom w:w="0" w:type="dxa"/>
            <w:right w:w="108" w:type="dxa"/>
          </w:tblCellMar>
        </w:tblPrEx>
        <w:trPr>
          <w:cantSplit/>
          <w:trHeight w:val="340" w:hRule="atLeast"/>
          <w:jc w:val="center"/>
        </w:trPr>
        <w:tc>
          <w:tcPr>
            <w:tcW w:w="1080" w:type="dxa"/>
            <w:vMerge w:val="continue"/>
            <w:tcBorders>
              <w:left w:val="single" w:color="auto" w:sz="4" w:space="0"/>
              <w:right w:val="single" w:color="auto" w:sz="4" w:space="0"/>
            </w:tcBorders>
            <w:noWrap w:val="0"/>
            <w:vAlign w:val="top"/>
          </w:tcPr>
          <w:p>
            <w:pPr>
              <w:widowControl/>
              <w:jc w:val="center"/>
              <w:rPr>
                <w:kern w:val="0"/>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rFonts w:hint="eastAsia"/>
                <w:kern w:val="0"/>
                <w:szCs w:val="21"/>
              </w:rPr>
              <w:t>15</w:t>
            </w:r>
          </w:p>
        </w:tc>
        <w:tc>
          <w:tcPr>
            <w:tcW w:w="429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r>
              <w:rPr>
                <w:kern w:val="0"/>
                <w:szCs w:val="21"/>
              </w:rPr>
              <w:t>成果产业化形成的经济效益</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万元</w:t>
            </w:r>
          </w:p>
        </w:tc>
        <w:tc>
          <w:tcPr>
            <w:tcW w:w="2394" w:type="dxa"/>
            <w:gridSpan w:val="2"/>
            <w:tcBorders>
              <w:top w:val="single" w:color="auto" w:sz="4" w:space="0"/>
              <w:left w:val="nil"/>
              <w:bottom w:val="single" w:color="auto" w:sz="4" w:space="0"/>
              <w:right w:val="single" w:color="auto" w:sz="4" w:space="0"/>
            </w:tcBorders>
            <w:noWrap w:val="0"/>
            <w:vAlign w:val="center"/>
          </w:tcPr>
          <w:p>
            <w:pPr>
              <w:widowControl/>
              <w:jc w:val="left"/>
              <w:rPr>
                <w:kern w:val="0"/>
                <w:szCs w:val="21"/>
              </w:rPr>
            </w:pPr>
          </w:p>
        </w:tc>
      </w:tr>
      <w:tr>
        <w:tblPrEx>
          <w:tblCellMar>
            <w:top w:w="0" w:type="dxa"/>
            <w:left w:w="108" w:type="dxa"/>
            <w:bottom w:w="0" w:type="dxa"/>
            <w:right w:w="108" w:type="dxa"/>
          </w:tblCellMar>
        </w:tblPrEx>
        <w:trPr>
          <w:cantSplit/>
          <w:trHeight w:val="340" w:hRule="atLeast"/>
          <w:jc w:val="center"/>
        </w:trPr>
        <w:tc>
          <w:tcPr>
            <w:tcW w:w="10404" w:type="dxa"/>
            <w:gridSpan w:val="7"/>
            <w:tcBorders>
              <w:top w:val="single" w:color="auto" w:sz="4" w:space="0"/>
              <w:left w:val="nil"/>
              <w:bottom w:val="nil"/>
            </w:tcBorders>
            <w:noWrap w:val="0"/>
            <w:vAlign w:val="top"/>
          </w:tcPr>
          <w:p>
            <w:pPr>
              <w:widowControl/>
              <w:ind w:firstLine="2100" w:firstLineChars="1000"/>
              <w:jc w:val="left"/>
              <w:rPr>
                <w:kern w:val="0"/>
                <w:szCs w:val="21"/>
              </w:rPr>
            </w:pPr>
            <w:r>
              <w:rPr>
                <w:kern w:val="0"/>
                <w:szCs w:val="21"/>
              </w:rPr>
              <w:t>负责人签字：</w:t>
            </w:r>
            <w:r>
              <w:rPr>
                <w:rFonts w:hint="eastAsia"/>
                <w:kern w:val="0"/>
                <w:szCs w:val="21"/>
              </w:rPr>
              <w:t xml:space="preserve">                            </w:t>
            </w:r>
            <w:r>
              <w:rPr>
                <w:kern w:val="0"/>
                <w:szCs w:val="21"/>
              </w:rPr>
              <w:t>单位盖章：</w:t>
            </w:r>
          </w:p>
        </w:tc>
      </w:tr>
    </w:tbl>
    <w:p>
      <w:pPr>
        <w:spacing w:line="280" w:lineRule="exact"/>
        <w:ind w:right="1283" w:rightChars="611"/>
        <w:sectPr>
          <w:pgSz w:w="11906" w:h="16838"/>
          <w:pgMar w:top="2098" w:right="1474" w:bottom="1985" w:left="1588" w:header="851" w:footer="992" w:gutter="0"/>
          <w:cols w:space="425" w:num="1"/>
          <w:docGrid w:type="lines" w:linePitch="312" w:charSpace="0"/>
        </w:sectPr>
      </w:pPr>
    </w:p>
    <w:tbl>
      <w:tblPr>
        <w:tblStyle w:val="7"/>
        <w:tblW w:w="14047"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3"/>
        <w:gridCol w:w="2154"/>
        <w:gridCol w:w="2268"/>
        <w:gridCol w:w="1842"/>
        <w:gridCol w:w="3402"/>
        <w:gridCol w:w="184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047" w:type="dxa"/>
            <w:gridSpan w:val="7"/>
            <w:tcBorders>
              <w:top w:val="nil"/>
              <w:left w:val="nil"/>
              <w:bottom w:val="nil"/>
              <w:right w:val="nil"/>
            </w:tcBorders>
            <w:shd w:val="clear" w:color="auto" w:fill="auto"/>
            <w:noWrap/>
            <w:vAlign w:val="center"/>
          </w:tcPr>
          <w:p>
            <w:pPr>
              <w:widowControl/>
              <w:jc w:val="left"/>
              <w:rPr>
                <w:rFonts w:hint="eastAsia" w:ascii="黑体" w:eastAsia="黑体"/>
                <w:kern w:val="0"/>
                <w:sz w:val="24"/>
              </w:rPr>
            </w:pPr>
            <w:r>
              <w:rPr>
                <w:rFonts w:hint="eastAsia" w:ascii="黑体" w:eastAsia="黑体"/>
                <w:kern w:val="0"/>
                <w:sz w:val="32"/>
                <w:szCs w:val="32"/>
              </w:rPr>
              <w:t>附件5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4047" w:type="dxa"/>
            <w:gridSpan w:val="7"/>
            <w:tcBorders>
              <w:top w:val="nil"/>
              <w:left w:val="nil"/>
              <w:bottom w:val="single" w:color="auto" w:sz="4" w:space="0"/>
              <w:right w:val="nil"/>
            </w:tcBorders>
            <w:shd w:val="clear" w:color="auto" w:fill="auto"/>
            <w:noWrap/>
            <w:vAlign w:val="center"/>
          </w:tcPr>
          <w:p>
            <w:pPr>
              <w:widowControl/>
              <w:jc w:val="center"/>
              <w:rPr>
                <w:rFonts w:hint="eastAsia" w:ascii="方正小标宋_GBK" w:eastAsia="方正小标宋_GBK"/>
                <w:bCs/>
                <w:kern w:val="0"/>
                <w:sz w:val="32"/>
                <w:szCs w:val="32"/>
              </w:rPr>
            </w:pPr>
            <w:r>
              <w:rPr>
                <w:rFonts w:hint="eastAsia" w:ascii="方正小标宋_GBK" w:eastAsia="方正小标宋_GBK"/>
                <w:bCs/>
                <w:kern w:val="0"/>
                <w:sz w:val="44"/>
                <w:szCs w:val="32"/>
              </w:rPr>
              <w:t>拟申报青岛市工程研究中心汇总表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553" w:type="dxa"/>
            <w:tcBorders>
              <w:left w:val="single" w:color="auto" w:sz="4" w:space="0"/>
            </w:tcBorders>
            <w:shd w:val="clear" w:color="auto" w:fill="auto"/>
            <w:noWrap w:val="0"/>
            <w:vAlign w:val="center"/>
          </w:tcPr>
          <w:p>
            <w:pPr>
              <w:widowControl/>
              <w:jc w:val="center"/>
              <w:rPr>
                <w:rFonts w:ascii="黑体" w:hAnsi="黑体" w:eastAsia="黑体"/>
                <w:bCs/>
                <w:kern w:val="0"/>
                <w:sz w:val="24"/>
              </w:rPr>
            </w:pPr>
            <w:r>
              <w:rPr>
                <w:rFonts w:ascii="黑体" w:hAnsi="黑体" w:eastAsia="黑体"/>
                <w:bCs/>
                <w:kern w:val="0"/>
                <w:sz w:val="24"/>
              </w:rPr>
              <w:t>序号</w:t>
            </w:r>
          </w:p>
        </w:tc>
        <w:tc>
          <w:tcPr>
            <w:tcW w:w="2154" w:type="dxa"/>
            <w:shd w:val="clear" w:color="auto" w:fill="auto"/>
            <w:noWrap w:val="0"/>
            <w:vAlign w:val="center"/>
          </w:tcPr>
          <w:p>
            <w:pPr>
              <w:widowControl/>
              <w:jc w:val="center"/>
              <w:rPr>
                <w:rFonts w:ascii="黑体" w:hAnsi="黑体" w:eastAsia="黑体"/>
                <w:bCs/>
                <w:kern w:val="0"/>
                <w:sz w:val="24"/>
              </w:rPr>
            </w:pPr>
            <w:r>
              <w:rPr>
                <w:rFonts w:hint="eastAsia" w:ascii="黑体" w:hAnsi="黑体" w:eastAsia="黑体"/>
                <w:bCs/>
                <w:kern w:val="0"/>
                <w:sz w:val="24"/>
              </w:rPr>
              <w:t>申报</w:t>
            </w:r>
            <w:r>
              <w:rPr>
                <w:rFonts w:ascii="黑体" w:hAnsi="黑体" w:eastAsia="黑体"/>
                <w:bCs/>
                <w:kern w:val="0"/>
                <w:sz w:val="24"/>
              </w:rPr>
              <w:t>平台名称</w:t>
            </w:r>
          </w:p>
        </w:tc>
        <w:tc>
          <w:tcPr>
            <w:tcW w:w="2268" w:type="dxa"/>
            <w:shd w:val="clear" w:color="auto" w:fill="auto"/>
            <w:noWrap w:val="0"/>
            <w:vAlign w:val="center"/>
          </w:tcPr>
          <w:p>
            <w:pPr>
              <w:widowControl/>
              <w:jc w:val="center"/>
              <w:rPr>
                <w:rFonts w:ascii="黑体" w:hAnsi="黑体" w:eastAsia="黑体"/>
                <w:bCs/>
                <w:kern w:val="0"/>
                <w:sz w:val="24"/>
              </w:rPr>
            </w:pPr>
            <w:r>
              <w:rPr>
                <w:rFonts w:ascii="黑体" w:hAnsi="黑体" w:eastAsia="黑体"/>
                <w:bCs/>
                <w:kern w:val="0"/>
                <w:sz w:val="24"/>
              </w:rPr>
              <w:t>依托单位</w:t>
            </w:r>
          </w:p>
        </w:tc>
        <w:tc>
          <w:tcPr>
            <w:tcW w:w="1842" w:type="dxa"/>
            <w:shd w:val="clear" w:color="auto" w:fill="auto"/>
            <w:noWrap w:val="0"/>
            <w:vAlign w:val="center"/>
          </w:tcPr>
          <w:p>
            <w:pPr>
              <w:widowControl/>
              <w:jc w:val="center"/>
              <w:rPr>
                <w:rFonts w:ascii="黑体" w:hAnsi="黑体" w:eastAsia="黑体"/>
                <w:bCs/>
                <w:kern w:val="0"/>
                <w:sz w:val="24"/>
              </w:rPr>
            </w:pPr>
            <w:r>
              <w:rPr>
                <w:rFonts w:ascii="黑体" w:hAnsi="黑体" w:eastAsia="黑体"/>
                <w:bCs/>
                <w:kern w:val="0"/>
                <w:sz w:val="24"/>
              </w:rPr>
              <w:t>所在区市</w:t>
            </w:r>
          </w:p>
        </w:tc>
        <w:tc>
          <w:tcPr>
            <w:tcW w:w="3402" w:type="dxa"/>
            <w:shd w:val="clear" w:color="auto" w:fill="auto"/>
            <w:noWrap/>
            <w:vAlign w:val="center"/>
          </w:tcPr>
          <w:p>
            <w:pPr>
              <w:widowControl/>
              <w:jc w:val="center"/>
              <w:rPr>
                <w:rFonts w:ascii="黑体" w:hAnsi="黑体" w:eastAsia="黑体"/>
                <w:bCs/>
                <w:kern w:val="0"/>
                <w:sz w:val="24"/>
              </w:rPr>
            </w:pPr>
            <w:r>
              <w:rPr>
                <w:rFonts w:hint="eastAsia" w:ascii="黑体" w:hAnsi="黑体" w:eastAsia="黑体"/>
                <w:bCs/>
                <w:kern w:val="0"/>
                <w:sz w:val="24"/>
              </w:rPr>
              <w:t>所属战略性新兴产业领域</w:t>
            </w:r>
          </w:p>
        </w:tc>
        <w:tc>
          <w:tcPr>
            <w:tcW w:w="1843" w:type="dxa"/>
            <w:shd w:val="clear" w:color="auto" w:fill="auto"/>
            <w:noWrap w:val="0"/>
            <w:vAlign w:val="center"/>
          </w:tcPr>
          <w:p>
            <w:pPr>
              <w:widowControl/>
              <w:jc w:val="center"/>
              <w:rPr>
                <w:rFonts w:ascii="黑体" w:hAnsi="黑体" w:eastAsia="黑体"/>
                <w:bCs/>
                <w:kern w:val="0"/>
                <w:sz w:val="24"/>
              </w:rPr>
            </w:pPr>
            <w:r>
              <w:rPr>
                <w:rFonts w:hint="eastAsia" w:ascii="黑体" w:hAnsi="黑体" w:eastAsia="黑体"/>
                <w:bCs/>
                <w:kern w:val="0"/>
                <w:sz w:val="24"/>
              </w:rPr>
              <w:t>联系人</w:t>
            </w:r>
          </w:p>
        </w:tc>
        <w:tc>
          <w:tcPr>
            <w:tcW w:w="1985" w:type="dxa"/>
            <w:tcBorders>
              <w:right w:val="single" w:color="auto" w:sz="4" w:space="0"/>
            </w:tcBorders>
            <w:shd w:val="clear" w:color="auto" w:fill="auto"/>
            <w:noWrap w:val="0"/>
            <w:vAlign w:val="center"/>
          </w:tcPr>
          <w:p>
            <w:pPr>
              <w:widowControl/>
              <w:jc w:val="center"/>
              <w:rPr>
                <w:rFonts w:ascii="黑体" w:hAnsi="黑体" w:eastAsia="黑体"/>
                <w:bCs/>
                <w:kern w:val="0"/>
                <w:sz w:val="24"/>
              </w:rPr>
            </w:pPr>
            <w:r>
              <w:rPr>
                <w:rFonts w:hint="eastAsia" w:ascii="黑体" w:hAnsi="黑体" w:eastAsia="黑体"/>
                <w:bCs/>
                <w:kern w:val="0"/>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553" w:type="dxa"/>
            <w:tcBorders>
              <w:left w:val="single" w:color="auto" w:sz="4" w:space="0"/>
            </w:tcBorders>
            <w:shd w:val="clear" w:color="auto" w:fill="auto"/>
            <w:noWrap/>
            <w:vAlign w:val="center"/>
          </w:tcPr>
          <w:p>
            <w:pPr>
              <w:widowControl/>
              <w:jc w:val="center"/>
              <w:rPr>
                <w:rFonts w:eastAsia="仿宋_GB2312"/>
                <w:kern w:val="0"/>
                <w:sz w:val="18"/>
                <w:szCs w:val="18"/>
              </w:rPr>
            </w:pPr>
          </w:p>
        </w:tc>
        <w:tc>
          <w:tcPr>
            <w:tcW w:w="2154" w:type="dxa"/>
            <w:shd w:val="clear" w:color="auto" w:fill="auto"/>
            <w:noWrap/>
            <w:vAlign w:val="center"/>
          </w:tcPr>
          <w:p>
            <w:pPr>
              <w:widowControl/>
              <w:jc w:val="left"/>
              <w:rPr>
                <w:rFonts w:eastAsia="仿宋_GB2312"/>
                <w:kern w:val="0"/>
                <w:sz w:val="18"/>
                <w:szCs w:val="18"/>
              </w:rPr>
            </w:pPr>
            <w:r>
              <w:rPr>
                <w:rFonts w:eastAsia="仿宋_GB2312"/>
                <w:kern w:val="0"/>
                <w:sz w:val="18"/>
                <w:szCs w:val="18"/>
              </w:rPr>
              <w:t>　</w:t>
            </w:r>
          </w:p>
        </w:tc>
        <w:tc>
          <w:tcPr>
            <w:tcW w:w="2268" w:type="dxa"/>
            <w:shd w:val="clear" w:color="auto" w:fill="auto"/>
            <w:noWrap/>
            <w:vAlign w:val="center"/>
          </w:tcPr>
          <w:p>
            <w:pPr>
              <w:widowControl/>
              <w:jc w:val="left"/>
              <w:rPr>
                <w:rFonts w:eastAsia="仿宋_GB2312"/>
                <w:kern w:val="0"/>
                <w:sz w:val="18"/>
                <w:szCs w:val="18"/>
              </w:rPr>
            </w:pPr>
            <w:r>
              <w:rPr>
                <w:rFonts w:eastAsia="仿宋_GB2312"/>
                <w:kern w:val="0"/>
                <w:sz w:val="18"/>
                <w:szCs w:val="18"/>
              </w:rPr>
              <w:t>　</w:t>
            </w:r>
          </w:p>
        </w:tc>
        <w:tc>
          <w:tcPr>
            <w:tcW w:w="1842" w:type="dxa"/>
            <w:shd w:val="clear" w:color="auto" w:fill="auto"/>
            <w:noWrap w:val="0"/>
            <w:vAlign w:val="center"/>
          </w:tcPr>
          <w:p>
            <w:pPr>
              <w:widowControl/>
              <w:jc w:val="left"/>
              <w:rPr>
                <w:rFonts w:eastAsia="仿宋_GB2312"/>
                <w:kern w:val="0"/>
                <w:szCs w:val="18"/>
              </w:rPr>
            </w:pPr>
          </w:p>
        </w:tc>
        <w:tc>
          <w:tcPr>
            <w:tcW w:w="3402" w:type="dxa"/>
            <w:shd w:val="clear" w:color="auto" w:fill="auto"/>
            <w:noWrap w:val="0"/>
            <w:vAlign w:val="center"/>
          </w:tcPr>
          <w:p>
            <w:pPr>
              <w:widowControl/>
              <w:jc w:val="left"/>
              <w:rPr>
                <w:rFonts w:eastAsia="仿宋_GB2312"/>
                <w:kern w:val="0"/>
                <w:szCs w:val="18"/>
              </w:rPr>
            </w:pPr>
          </w:p>
        </w:tc>
        <w:tc>
          <w:tcPr>
            <w:tcW w:w="1843" w:type="dxa"/>
            <w:shd w:val="clear" w:color="auto" w:fill="auto"/>
            <w:noWrap w:val="0"/>
            <w:vAlign w:val="center"/>
          </w:tcPr>
          <w:p>
            <w:pPr>
              <w:widowControl/>
              <w:jc w:val="left"/>
              <w:rPr>
                <w:rFonts w:eastAsia="仿宋_GB2312"/>
                <w:kern w:val="0"/>
                <w:szCs w:val="18"/>
              </w:rPr>
            </w:pPr>
          </w:p>
        </w:tc>
        <w:tc>
          <w:tcPr>
            <w:tcW w:w="1985" w:type="dxa"/>
            <w:tcBorders>
              <w:right w:val="single" w:color="auto" w:sz="4" w:space="0"/>
            </w:tcBorders>
            <w:shd w:val="clear" w:color="auto" w:fill="auto"/>
            <w:noWrap w:val="0"/>
            <w:vAlign w:val="center"/>
          </w:tcPr>
          <w:p>
            <w:pPr>
              <w:widowControl/>
              <w:jc w:val="left"/>
              <w:rPr>
                <w:rFonts w:eastAsia="仿宋_GB2312"/>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553" w:type="dxa"/>
            <w:tcBorders>
              <w:left w:val="single" w:color="auto" w:sz="4" w:space="0"/>
            </w:tcBorders>
            <w:shd w:val="clear" w:color="auto" w:fill="auto"/>
            <w:noWrap/>
            <w:vAlign w:val="center"/>
          </w:tcPr>
          <w:p>
            <w:pPr>
              <w:widowControl/>
              <w:jc w:val="center"/>
              <w:rPr>
                <w:rFonts w:eastAsia="仿宋_GB2312"/>
                <w:kern w:val="0"/>
                <w:sz w:val="18"/>
                <w:szCs w:val="18"/>
              </w:rPr>
            </w:pPr>
          </w:p>
        </w:tc>
        <w:tc>
          <w:tcPr>
            <w:tcW w:w="2154" w:type="dxa"/>
            <w:shd w:val="clear" w:color="auto" w:fill="auto"/>
            <w:noWrap/>
            <w:vAlign w:val="center"/>
          </w:tcPr>
          <w:p>
            <w:pPr>
              <w:widowControl/>
              <w:jc w:val="left"/>
              <w:rPr>
                <w:rFonts w:eastAsia="仿宋_GB2312"/>
                <w:kern w:val="0"/>
                <w:sz w:val="18"/>
                <w:szCs w:val="18"/>
              </w:rPr>
            </w:pPr>
            <w:r>
              <w:rPr>
                <w:rFonts w:eastAsia="仿宋_GB2312"/>
                <w:kern w:val="0"/>
                <w:sz w:val="18"/>
                <w:szCs w:val="18"/>
              </w:rPr>
              <w:t>　</w:t>
            </w:r>
          </w:p>
        </w:tc>
        <w:tc>
          <w:tcPr>
            <w:tcW w:w="2268" w:type="dxa"/>
            <w:shd w:val="clear" w:color="auto" w:fill="auto"/>
            <w:noWrap/>
            <w:vAlign w:val="center"/>
          </w:tcPr>
          <w:p>
            <w:pPr>
              <w:widowControl/>
              <w:jc w:val="left"/>
              <w:rPr>
                <w:rFonts w:eastAsia="仿宋_GB2312"/>
                <w:kern w:val="0"/>
                <w:sz w:val="18"/>
                <w:szCs w:val="18"/>
              </w:rPr>
            </w:pPr>
            <w:r>
              <w:rPr>
                <w:rFonts w:eastAsia="仿宋_GB2312"/>
                <w:kern w:val="0"/>
                <w:sz w:val="18"/>
                <w:szCs w:val="18"/>
              </w:rPr>
              <w:t>　</w:t>
            </w:r>
          </w:p>
        </w:tc>
        <w:tc>
          <w:tcPr>
            <w:tcW w:w="1842" w:type="dxa"/>
            <w:shd w:val="clear" w:color="auto" w:fill="auto"/>
            <w:noWrap w:val="0"/>
            <w:vAlign w:val="center"/>
          </w:tcPr>
          <w:p>
            <w:pPr>
              <w:widowControl/>
              <w:jc w:val="left"/>
              <w:rPr>
                <w:rFonts w:eastAsia="仿宋_GB2312"/>
                <w:kern w:val="0"/>
                <w:sz w:val="18"/>
                <w:szCs w:val="18"/>
              </w:rPr>
            </w:pPr>
            <w:r>
              <w:rPr>
                <w:rFonts w:eastAsia="仿宋_GB2312"/>
                <w:kern w:val="0"/>
                <w:sz w:val="18"/>
                <w:szCs w:val="18"/>
              </w:rPr>
              <w:t>　</w:t>
            </w:r>
          </w:p>
        </w:tc>
        <w:tc>
          <w:tcPr>
            <w:tcW w:w="3402" w:type="dxa"/>
            <w:shd w:val="clear" w:color="auto" w:fill="auto"/>
            <w:noWrap w:val="0"/>
            <w:vAlign w:val="center"/>
          </w:tcPr>
          <w:p>
            <w:pPr>
              <w:widowControl/>
              <w:jc w:val="left"/>
              <w:rPr>
                <w:rFonts w:eastAsia="仿宋_GB2312"/>
                <w:kern w:val="0"/>
                <w:sz w:val="18"/>
                <w:szCs w:val="18"/>
              </w:rPr>
            </w:pPr>
            <w:r>
              <w:rPr>
                <w:rFonts w:eastAsia="仿宋_GB2312"/>
                <w:kern w:val="0"/>
                <w:sz w:val="18"/>
                <w:szCs w:val="18"/>
              </w:rPr>
              <w:t>　</w:t>
            </w:r>
          </w:p>
        </w:tc>
        <w:tc>
          <w:tcPr>
            <w:tcW w:w="1843" w:type="dxa"/>
            <w:shd w:val="clear" w:color="auto" w:fill="auto"/>
            <w:noWrap w:val="0"/>
            <w:vAlign w:val="center"/>
          </w:tcPr>
          <w:p>
            <w:pPr>
              <w:widowControl/>
              <w:rPr>
                <w:rFonts w:eastAsia="仿宋_GB2312"/>
                <w:kern w:val="0"/>
                <w:sz w:val="18"/>
                <w:szCs w:val="18"/>
              </w:rPr>
            </w:pPr>
          </w:p>
        </w:tc>
        <w:tc>
          <w:tcPr>
            <w:tcW w:w="1985" w:type="dxa"/>
            <w:tcBorders>
              <w:right w:val="single" w:color="auto" w:sz="4" w:space="0"/>
            </w:tcBorders>
            <w:shd w:val="clear" w:color="auto" w:fill="auto"/>
            <w:noWrap w:val="0"/>
            <w:vAlign w:val="center"/>
          </w:tcPr>
          <w:p>
            <w:pPr>
              <w:widowControl/>
              <w:rPr>
                <w:rFonts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553" w:type="dxa"/>
            <w:tcBorders>
              <w:left w:val="single" w:color="auto" w:sz="4" w:space="0"/>
            </w:tcBorders>
            <w:shd w:val="clear" w:color="auto" w:fill="auto"/>
            <w:noWrap/>
            <w:vAlign w:val="center"/>
          </w:tcPr>
          <w:p>
            <w:pPr>
              <w:widowControl/>
              <w:jc w:val="center"/>
              <w:rPr>
                <w:rFonts w:eastAsia="仿宋_GB2312"/>
                <w:kern w:val="0"/>
                <w:sz w:val="18"/>
                <w:szCs w:val="18"/>
              </w:rPr>
            </w:pPr>
          </w:p>
        </w:tc>
        <w:tc>
          <w:tcPr>
            <w:tcW w:w="2154" w:type="dxa"/>
            <w:shd w:val="clear" w:color="auto" w:fill="auto"/>
            <w:noWrap/>
            <w:vAlign w:val="center"/>
          </w:tcPr>
          <w:p>
            <w:pPr>
              <w:widowControl/>
              <w:jc w:val="left"/>
              <w:rPr>
                <w:rFonts w:eastAsia="仿宋_GB2312"/>
                <w:kern w:val="0"/>
                <w:sz w:val="18"/>
                <w:szCs w:val="18"/>
              </w:rPr>
            </w:pPr>
            <w:r>
              <w:rPr>
                <w:rFonts w:eastAsia="仿宋_GB2312"/>
                <w:kern w:val="0"/>
                <w:sz w:val="18"/>
                <w:szCs w:val="18"/>
              </w:rPr>
              <w:t>　</w:t>
            </w:r>
          </w:p>
        </w:tc>
        <w:tc>
          <w:tcPr>
            <w:tcW w:w="2268" w:type="dxa"/>
            <w:shd w:val="clear" w:color="auto" w:fill="auto"/>
            <w:noWrap/>
            <w:vAlign w:val="center"/>
          </w:tcPr>
          <w:p>
            <w:pPr>
              <w:widowControl/>
              <w:jc w:val="left"/>
              <w:rPr>
                <w:rFonts w:eastAsia="仿宋_GB2312"/>
                <w:kern w:val="0"/>
                <w:sz w:val="18"/>
                <w:szCs w:val="18"/>
              </w:rPr>
            </w:pPr>
            <w:r>
              <w:rPr>
                <w:rFonts w:eastAsia="仿宋_GB2312"/>
                <w:kern w:val="0"/>
                <w:sz w:val="18"/>
                <w:szCs w:val="18"/>
              </w:rPr>
              <w:t>　</w:t>
            </w:r>
          </w:p>
        </w:tc>
        <w:tc>
          <w:tcPr>
            <w:tcW w:w="1842" w:type="dxa"/>
            <w:shd w:val="clear" w:color="auto" w:fill="auto"/>
            <w:noWrap w:val="0"/>
            <w:vAlign w:val="center"/>
          </w:tcPr>
          <w:p>
            <w:pPr>
              <w:widowControl/>
              <w:jc w:val="left"/>
              <w:rPr>
                <w:rFonts w:eastAsia="仿宋_GB2312"/>
                <w:kern w:val="0"/>
                <w:sz w:val="18"/>
                <w:szCs w:val="18"/>
              </w:rPr>
            </w:pPr>
            <w:r>
              <w:rPr>
                <w:rFonts w:eastAsia="仿宋_GB2312"/>
                <w:kern w:val="0"/>
                <w:sz w:val="18"/>
                <w:szCs w:val="18"/>
              </w:rPr>
              <w:t>　</w:t>
            </w:r>
          </w:p>
        </w:tc>
        <w:tc>
          <w:tcPr>
            <w:tcW w:w="3402" w:type="dxa"/>
            <w:shd w:val="clear" w:color="auto" w:fill="auto"/>
            <w:noWrap w:val="0"/>
            <w:vAlign w:val="center"/>
          </w:tcPr>
          <w:p>
            <w:pPr>
              <w:widowControl/>
              <w:jc w:val="left"/>
              <w:rPr>
                <w:rFonts w:eastAsia="仿宋_GB2312"/>
                <w:kern w:val="0"/>
                <w:sz w:val="18"/>
                <w:szCs w:val="18"/>
              </w:rPr>
            </w:pPr>
            <w:r>
              <w:rPr>
                <w:rFonts w:eastAsia="仿宋_GB2312"/>
                <w:kern w:val="0"/>
                <w:sz w:val="18"/>
                <w:szCs w:val="18"/>
              </w:rPr>
              <w:t>　</w:t>
            </w:r>
          </w:p>
        </w:tc>
        <w:tc>
          <w:tcPr>
            <w:tcW w:w="1843" w:type="dxa"/>
            <w:shd w:val="clear" w:color="auto" w:fill="auto"/>
            <w:noWrap w:val="0"/>
            <w:vAlign w:val="center"/>
          </w:tcPr>
          <w:p>
            <w:pPr>
              <w:widowControl/>
              <w:rPr>
                <w:rFonts w:eastAsia="仿宋_GB2312"/>
                <w:kern w:val="0"/>
                <w:sz w:val="18"/>
                <w:szCs w:val="18"/>
              </w:rPr>
            </w:pPr>
          </w:p>
        </w:tc>
        <w:tc>
          <w:tcPr>
            <w:tcW w:w="1985" w:type="dxa"/>
            <w:tcBorders>
              <w:right w:val="single" w:color="auto" w:sz="4" w:space="0"/>
            </w:tcBorders>
            <w:shd w:val="clear" w:color="auto" w:fill="auto"/>
            <w:noWrap w:val="0"/>
            <w:vAlign w:val="center"/>
          </w:tcPr>
          <w:p>
            <w:pPr>
              <w:widowControl/>
              <w:rPr>
                <w:rFonts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553" w:type="dxa"/>
            <w:tcBorders>
              <w:left w:val="single" w:color="auto" w:sz="4" w:space="0"/>
            </w:tcBorders>
            <w:shd w:val="clear" w:color="auto" w:fill="auto"/>
            <w:noWrap/>
            <w:vAlign w:val="center"/>
          </w:tcPr>
          <w:p>
            <w:pPr>
              <w:widowControl/>
              <w:jc w:val="center"/>
              <w:rPr>
                <w:rFonts w:eastAsia="仿宋_GB2312"/>
                <w:kern w:val="0"/>
                <w:sz w:val="18"/>
                <w:szCs w:val="18"/>
              </w:rPr>
            </w:pPr>
          </w:p>
        </w:tc>
        <w:tc>
          <w:tcPr>
            <w:tcW w:w="2154" w:type="dxa"/>
            <w:shd w:val="clear" w:color="auto" w:fill="auto"/>
            <w:noWrap/>
            <w:vAlign w:val="center"/>
          </w:tcPr>
          <w:p>
            <w:pPr>
              <w:widowControl/>
              <w:jc w:val="left"/>
              <w:rPr>
                <w:rFonts w:eastAsia="仿宋_GB2312"/>
                <w:kern w:val="0"/>
                <w:sz w:val="18"/>
                <w:szCs w:val="18"/>
              </w:rPr>
            </w:pPr>
          </w:p>
        </w:tc>
        <w:tc>
          <w:tcPr>
            <w:tcW w:w="2268" w:type="dxa"/>
            <w:shd w:val="clear" w:color="auto" w:fill="auto"/>
            <w:noWrap/>
            <w:vAlign w:val="center"/>
          </w:tcPr>
          <w:p>
            <w:pPr>
              <w:widowControl/>
              <w:jc w:val="left"/>
              <w:rPr>
                <w:rFonts w:eastAsia="仿宋_GB2312"/>
                <w:kern w:val="0"/>
                <w:sz w:val="18"/>
                <w:szCs w:val="18"/>
              </w:rPr>
            </w:pPr>
          </w:p>
        </w:tc>
        <w:tc>
          <w:tcPr>
            <w:tcW w:w="1842" w:type="dxa"/>
            <w:shd w:val="clear" w:color="auto" w:fill="auto"/>
            <w:noWrap w:val="0"/>
            <w:vAlign w:val="center"/>
          </w:tcPr>
          <w:p>
            <w:pPr>
              <w:widowControl/>
              <w:jc w:val="left"/>
              <w:rPr>
                <w:rFonts w:eastAsia="仿宋_GB2312"/>
                <w:kern w:val="0"/>
                <w:sz w:val="18"/>
                <w:szCs w:val="18"/>
              </w:rPr>
            </w:pPr>
          </w:p>
        </w:tc>
        <w:tc>
          <w:tcPr>
            <w:tcW w:w="3402" w:type="dxa"/>
            <w:shd w:val="clear" w:color="auto" w:fill="auto"/>
            <w:noWrap w:val="0"/>
            <w:vAlign w:val="center"/>
          </w:tcPr>
          <w:p>
            <w:pPr>
              <w:widowControl/>
              <w:jc w:val="left"/>
              <w:rPr>
                <w:rFonts w:eastAsia="仿宋_GB2312"/>
                <w:kern w:val="0"/>
                <w:sz w:val="18"/>
                <w:szCs w:val="18"/>
              </w:rPr>
            </w:pPr>
          </w:p>
        </w:tc>
        <w:tc>
          <w:tcPr>
            <w:tcW w:w="1843" w:type="dxa"/>
            <w:shd w:val="clear" w:color="auto" w:fill="auto"/>
            <w:noWrap w:val="0"/>
            <w:vAlign w:val="center"/>
          </w:tcPr>
          <w:p>
            <w:pPr>
              <w:widowControl/>
              <w:rPr>
                <w:rFonts w:eastAsia="仿宋_GB2312"/>
                <w:kern w:val="0"/>
                <w:sz w:val="18"/>
                <w:szCs w:val="18"/>
              </w:rPr>
            </w:pPr>
          </w:p>
        </w:tc>
        <w:tc>
          <w:tcPr>
            <w:tcW w:w="1985" w:type="dxa"/>
            <w:tcBorders>
              <w:right w:val="single" w:color="auto" w:sz="4" w:space="0"/>
            </w:tcBorders>
            <w:shd w:val="clear" w:color="auto" w:fill="auto"/>
            <w:noWrap w:val="0"/>
            <w:vAlign w:val="center"/>
          </w:tcPr>
          <w:p>
            <w:pPr>
              <w:widowControl/>
              <w:rPr>
                <w:rFonts w:eastAsia="仿宋"/>
                <w:kern w:val="0"/>
                <w:sz w:val="20"/>
                <w:szCs w:val="20"/>
              </w:rPr>
            </w:pPr>
          </w:p>
        </w:tc>
      </w:tr>
    </w:tbl>
    <w:p>
      <w:pPr>
        <w:rPr>
          <w:rFonts w:hint="eastAsia"/>
        </w:rPr>
      </w:pPr>
    </w:p>
    <w:p>
      <w:pPr>
        <w:sectPr>
          <w:pgSz w:w="16838" w:h="11906" w:orient="landscape"/>
          <w:pgMar w:top="1797" w:right="1440" w:bottom="1797" w:left="1440" w:header="851" w:footer="992" w:gutter="0"/>
          <w:cols w:space="425" w:num="1"/>
          <w:docGrid w:type="linesAndChars" w:linePitch="312" w:charSpace="0"/>
        </w:sectPr>
      </w:pPr>
    </w:p>
    <w:p>
      <w:pPr>
        <w:widowControl/>
        <w:spacing w:line="288" w:lineRule="atLeast"/>
        <w:rPr>
          <w:rFonts w:hint="eastAsia" w:ascii="黑体" w:hAnsi="Arial" w:eastAsia="黑体" w:cs="Arial"/>
          <w:color w:val="000000"/>
          <w:kern w:val="0"/>
          <w:sz w:val="32"/>
          <w:szCs w:val="32"/>
        </w:rPr>
      </w:pPr>
      <w:r>
        <w:rPr>
          <w:rFonts w:hint="eastAsia" w:ascii="黑体" w:hAnsi="Arial" w:eastAsia="黑体" w:cs="Arial"/>
          <w:color w:val="000000"/>
          <w:kern w:val="0"/>
          <w:sz w:val="32"/>
          <w:szCs w:val="32"/>
        </w:rPr>
        <w:t>附件6</w:t>
      </w:r>
    </w:p>
    <w:p>
      <w:pPr>
        <w:widowControl/>
        <w:spacing w:line="288" w:lineRule="atLeast"/>
        <w:rPr>
          <w:rFonts w:hint="eastAsia" w:ascii="Arial" w:hAnsi="Arial" w:cs="Arial"/>
          <w:color w:val="000000"/>
          <w:kern w:val="0"/>
          <w:sz w:val="44"/>
          <w:szCs w:val="44"/>
        </w:rPr>
      </w:pPr>
    </w:p>
    <w:p>
      <w:pPr>
        <w:widowControl/>
        <w:spacing w:line="288" w:lineRule="atLeast"/>
        <w:jc w:val="center"/>
        <w:rPr>
          <w:rFonts w:hint="eastAsia" w:ascii="方正小标宋_GBK" w:hAnsi="Arial" w:eastAsia="方正小标宋_GBK" w:cs="Arial"/>
          <w:color w:val="000000"/>
          <w:kern w:val="0"/>
          <w:sz w:val="44"/>
          <w:szCs w:val="44"/>
        </w:rPr>
      </w:pPr>
      <w:r>
        <w:rPr>
          <w:rFonts w:hint="eastAsia" w:ascii="方正小标宋_GBK" w:hAnsi="Arial" w:eastAsia="方正小标宋_GBK" w:cs="Arial"/>
          <w:color w:val="000000"/>
          <w:kern w:val="0"/>
          <w:sz w:val="44"/>
          <w:szCs w:val="44"/>
        </w:rPr>
        <w:t>真实性承诺（样式）</w:t>
      </w:r>
    </w:p>
    <w:p>
      <w:pPr>
        <w:widowControl/>
        <w:spacing w:line="288" w:lineRule="atLeast"/>
        <w:rPr>
          <w:rFonts w:hint="eastAsia" w:ascii="Arial" w:hAnsi="Arial" w:cs="Arial"/>
          <w:color w:val="000000"/>
          <w:kern w:val="0"/>
          <w:sz w:val="44"/>
          <w:szCs w:val="44"/>
        </w:rPr>
      </w:pPr>
    </w:p>
    <w:p>
      <w:pPr>
        <w:widowControl/>
        <w:spacing w:line="288" w:lineRule="atLeast"/>
        <w:ind w:firstLine="640" w:firstLineChars="200"/>
        <w:rPr>
          <w:rFonts w:hint="eastAsia" w:ascii="仿宋_GB2312" w:hAnsi="仿宋" w:eastAsia="仿宋_GB2312" w:cs="Arial"/>
          <w:color w:val="000000"/>
          <w:kern w:val="0"/>
          <w:sz w:val="32"/>
          <w:szCs w:val="32"/>
        </w:rPr>
      </w:pPr>
      <w:r>
        <w:rPr>
          <w:rFonts w:hint="eastAsia" w:ascii="仿宋_GB2312" w:hAnsi="仿宋" w:eastAsia="仿宋_GB2312" w:cs="Arial"/>
          <w:color w:val="000000"/>
          <w:kern w:val="0"/>
          <w:sz w:val="32"/>
          <w:szCs w:val="32"/>
        </w:rPr>
        <w:t>我单位承诺：在参加青岛市工程研究中心（工程实验室）申报时，提交的所有申报材料均真实、有效、合法。如有不实之处，愿负相应责任，并承担由此产生的一切后果。</w:t>
      </w:r>
    </w:p>
    <w:p>
      <w:pPr>
        <w:widowControl/>
        <w:spacing w:line="288" w:lineRule="atLeast"/>
        <w:jc w:val="right"/>
        <w:rPr>
          <w:rFonts w:hint="eastAsia" w:ascii="仿宋" w:hAnsi="仿宋" w:eastAsia="仿宋_GB2312" w:cs="Arial"/>
          <w:color w:val="000000"/>
          <w:kern w:val="0"/>
          <w:sz w:val="32"/>
          <w:szCs w:val="32"/>
        </w:rPr>
      </w:pPr>
    </w:p>
    <w:p>
      <w:pPr>
        <w:widowControl/>
        <w:spacing w:line="288" w:lineRule="atLeast"/>
        <w:jc w:val="right"/>
        <w:rPr>
          <w:rFonts w:hint="eastAsia" w:ascii="仿宋_GB2312" w:hAnsi="仿宋" w:eastAsia="仿宋_GB2312" w:cs="Arial"/>
          <w:color w:val="000000"/>
          <w:kern w:val="0"/>
          <w:sz w:val="32"/>
          <w:szCs w:val="32"/>
        </w:rPr>
      </w:pP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申报单位（盖章）  </w:t>
      </w:r>
    </w:p>
    <w:p>
      <w:pPr>
        <w:widowControl/>
        <w:wordWrap w:val="0"/>
        <w:spacing w:line="288" w:lineRule="atLeast"/>
        <w:jc w:val="right"/>
        <w:rPr>
          <w:rFonts w:hint="eastAsia" w:ascii="仿宋_GB2312" w:hAnsi="仿宋" w:eastAsia="仿宋_GB2312" w:cs="Arial"/>
          <w:color w:val="000000"/>
          <w:kern w:val="0"/>
          <w:sz w:val="32"/>
          <w:szCs w:val="32"/>
        </w:rPr>
      </w:pP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年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月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日  </w:t>
      </w:r>
    </w:p>
    <w:p>
      <w:pPr>
        <w:widowControl/>
        <w:spacing w:line="288" w:lineRule="atLeast"/>
        <w:ind w:firstLine="534"/>
        <w:rPr>
          <w:rFonts w:ascii="Arial" w:hAnsi="Arial" w:cs="Arial"/>
          <w:color w:val="000000"/>
          <w:kern w:val="0"/>
          <w:sz w:val="18"/>
          <w:szCs w:val="18"/>
        </w:rPr>
      </w:pPr>
      <w:r>
        <w:rPr>
          <w:rFonts w:ascii="仿宋_GB2312" w:hAnsi="Arial" w:eastAsia="仿宋_GB2312" w:cs="Arial"/>
          <w:color w:val="000000"/>
          <w:kern w:val="0"/>
          <w:sz w:val="26"/>
          <w:szCs w:val="26"/>
        </w:rPr>
        <w:t>                             </w:t>
      </w:r>
    </w:p>
    <w:p>
      <w:pPr>
        <w:rPr>
          <w:rFonts w:hint="eastAsia"/>
        </w:rPr>
      </w:pPr>
    </w:p>
    <w:p>
      <w:pPr>
        <w:widowControl/>
        <w:spacing w:line="288" w:lineRule="atLeast"/>
        <w:rPr>
          <w:rFonts w:hint="eastAsia" w:ascii="黑体" w:hAnsi="Arial" w:eastAsia="黑体" w:cs="Arial"/>
          <w:color w:val="000000"/>
          <w:kern w:val="0"/>
          <w:sz w:val="32"/>
          <w:szCs w:val="32"/>
        </w:rPr>
      </w:pPr>
      <w:r>
        <w:br w:type="page"/>
      </w:r>
      <w:r>
        <w:rPr>
          <w:rFonts w:hint="eastAsia" w:ascii="黑体" w:hAnsi="Arial" w:eastAsia="黑体" w:cs="Arial"/>
          <w:color w:val="000000"/>
          <w:kern w:val="0"/>
          <w:sz w:val="32"/>
          <w:szCs w:val="32"/>
        </w:rPr>
        <w:t>附件7</w:t>
      </w:r>
    </w:p>
    <w:p>
      <w:pPr>
        <w:rPr>
          <w:rFonts w:hint="eastAsia"/>
        </w:rPr>
      </w:pPr>
    </w:p>
    <w:p>
      <w:pPr>
        <w:adjustRightInd w:val="0"/>
        <w:snapToGrid w:val="0"/>
        <w:spacing w:line="560" w:lineRule="exact"/>
        <w:jc w:val="center"/>
        <w:rPr>
          <w:rFonts w:hint="eastAsia" w:ascii="方正小标宋_GBK" w:eastAsia="方正小标宋_GBK"/>
          <w:kern w:val="0"/>
          <w:sz w:val="44"/>
          <w:szCs w:val="44"/>
        </w:rPr>
      </w:pPr>
      <w:r>
        <w:rPr>
          <w:rFonts w:hint="eastAsia" w:ascii="方正小标宋_GBK" w:eastAsia="方正小标宋_GBK"/>
          <w:kern w:val="0"/>
          <w:sz w:val="44"/>
          <w:szCs w:val="44"/>
        </w:rPr>
        <w:t>申报咨询</w:t>
      </w:r>
      <w:r>
        <w:rPr>
          <w:rFonts w:ascii="方正小标宋_GBK" w:eastAsia="方正小标宋_GBK"/>
          <w:kern w:val="0"/>
          <w:sz w:val="44"/>
          <w:szCs w:val="44"/>
        </w:rPr>
        <w:t>联系方式</w:t>
      </w:r>
    </w:p>
    <w:p>
      <w:pPr>
        <w:adjustRightInd w:val="0"/>
        <w:snapToGrid w:val="0"/>
        <w:spacing w:line="560" w:lineRule="exact"/>
        <w:ind w:firstLine="629"/>
        <w:rPr>
          <w:rFonts w:eastAsia="仿宋_GB2312"/>
          <w:sz w:val="32"/>
          <w:szCs w:val="32"/>
        </w:rPr>
      </w:pPr>
    </w:p>
    <w:p>
      <w:pPr>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 xml:space="preserve">市南区发展改革局：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88729690</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市北区发展改革局：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 xml:space="preserve"> 85801348</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李沧区发展改革局：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 xml:space="preserve">   84670319</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崂山区发展改革局：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88998252</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西海岸新区发展改革局：            </w:t>
      </w:r>
      <w:r>
        <w:rPr>
          <w:rFonts w:eastAsia="仿宋_GB2312"/>
          <w:kern w:val="0"/>
          <w:sz w:val="32"/>
          <w:szCs w:val="32"/>
        </w:rPr>
        <w:t>86989508</w:t>
      </w:r>
    </w:p>
    <w:p>
      <w:pPr>
        <w:tabs>
          <w:tab w:val="left" w:pos="6237"/>
        </w:tabs>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城阳区发展改革局：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 xml:space="preserve">  87866474</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即墨区发展改革局：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 xml:space="preserve"> 88551173</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胶州市发展改革局：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 xml:space="preserve"> 82288303</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平度市发展改革局：   </w:t>
      </w:r>
      <w:r>
        <w:rPr>
          <w:rFonts w:eastAsia="仿宋_GB2312"/>
          <w:kern w:val="0"/>
          <w:sz w:val="32"/>
          <w:szCs w:val="32"/>
        </w:rPr>
        <w:t xml:space="preserve">     </w:t>
      </w:r>
      <w:r>
        <w:rPr>
          <w:rFonts w:hint="eastAsia" w:eastAsia="仿宋_GB2312"/>
          <w:kern w:val="0"/>
          <w:sz w:val="32"/>
          <w:szCs w:val="32"/>
        </w:rPr>
        <w:t xml:space="preserve">        87361726</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莱西市发展改革局：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88405572</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高新区经济发展促进部：            </w:t>
      </w:r>
      <w:r>
        <w:rPr>
          <w:rFonts w:eastAsia="仿宋_GB2312"/>
          <w:kern w:val="0"/>
          <w:sz w:val="32"/>
          <w:szCs w:val="32"/>
        </w:rPr>
        <w:t>68686559</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保税区发展改革局：                </w:t>
      </w:r>
      <w:r>
        <w:rPr>
          <w:rFonts w:eastAsia="仿宋_GB2312"/>
          <w:kern w:val="0"/>
          <w:sz w:val="32"/>
          <w:szCs w:val="32"/>
        </w:rPr>
        <w:t>86767597</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青岛蓝谷管理局经发和投促部：      </w:t>
      </w:r>
      <w:r>
        <w:rPr>
          <w:rFonts w:eastAsia="仿宋_GB2312"/>
          <w:kern w:val="0"/>
          <w:sz w:val="32"/>
          <w:szCs w:val="32"/>
        </w:rPr>
        <w:t>67720215</w:t>
      </w:r>
    </w:p>
    <w:p>
      <w:pPr>
        <w:tabs>
          <w:tab w:val="left" w:pos="6096"/>
        </w:tabs>
        <w:spacing w:line="560" w:lineRule="exact"/>
        <w:ind w:firstLine="640" w:firstLineChars="200"/>
        <w:rPr>
          <w:rFonts w:hint="eastAsia" w:eastAsia="仿宋_GB2312"/>
          <w:kern w:val="0"/>
          <w:sz w:val="32"/>
          <w:szCs w:val="32"/>
        </w:rPr>
      </w:pPr>
      <w:r>
        <w:rPr>
          <w:rFonts w:hint="eastAsia" w:eastAsia="仿宋_GB2312"/>
          <w:kern w:val="0"/>
          <w:sz w:val="32"/>
          <w:szCs w:val="32"/>
        </w:rPr>
        <w:t>青岛轨道交通产业示范区产业发展部：</w:t>
      </w:r>
      <w:r>
        <w:rPr>
          <w:rFonts w:eastAsia="仿宋_GB2312"/>
          <w:kern w:val="0"/>
          <w:sz w:val="32"/>
          <w:szCs w:val="32"/>
        </w:rPr>
        <w:t>58655235</w:t>
      </w:r>
    </w:p>
    <w:p>
      <w:pPr>
        <w:tabs>
          <w:tab w:val="left" w:pos="6096"/>
        </w:tabs>
        <w:spacing w:line="560" w:lineRule="exact"/>
        <w:ind w:firstLine="640" w:firstLineChars="200"/>
        <w:rPr>
          <w:rFonts w:hint="eastAsia" w:eastAsia="仿宋_GB2312"/>
          <w:kern w:val="0"/>
          <w:sz w:val="32"/>
          <w:szCs w:val="32"/>
        </w:rPr>
      </w:pPr>
      <w:r>
        <w:rPr>
          <w:rFonts w:hint="eastAsia" w:eastAsia="仿宋_GB2312"/>
          <w:sz w:val="32"/>
          <w:szCs w:val="32"/>
        </w:rPr>
        <w:t>上合示范区经济发展部</w:t>
      </w:r>
      <w:r>
        <w:rPr>
          <w:rFonts w:hint="eastAsia" w:eastAsia="仿宋_GB2312"/>
          <w:sz w:val="32"/>
          <w:szCs w:val="32"/>
        </w:rPr>
        <w:tab/>
      </w:r>
      <w:r>
        <w:rPr>
          <w:rFonts w:eastAsia="仿宋_GB2312"/>
          <w:sz w:val="32"/>
          <w:szCs w:val="32"/>
        </w:rPr>
        <w:t>85279073</w:t>
      </w:r>
    </w:p>
    <w:p>
      <w:pPr>
        <w:spacing w:line="560" w:lineRule="exact"/>
        <w:ind w:firstLine="640" w:firstLineChars="200"/>
        <w:rPr>
          <w:rFonts w:hint="eastAsia" w:eastAsia="仿宋_GB2312"/>
          <w:kern w:val="0"/>
          <w:sz w:val="32"/>
          <w:szCs w:val="32"/>
        </w:rPr>
      </w:pP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青岛市</w:t>
      </w:r>
      <w:r>
        <w:rPr>
          <w:rFonts w:eastAsia="仿宋_GB2312"/>
          <w:kern w:val="0"/>
          <w:sz w:val="32"/>
          <w:szCs w:val="32"/>
        </w:rPr>
        <w:t>发展改革委：</w:t>
      </w:r>
      <w:r>
        <w:rPr>
          <w:rFonts w:hint="eastAsia" w:eastAsia="仿宋_GB2312"/>
          <w:kern w:val="0"/>
          <w:sz w:val="32"/>
          <w:szCs w:val="32"/>
        </w:rPr>
        <w:t xml:space="preserve">       </w:t>
      </w:r>
      <w:r>
        <w:rPr>
          <w:rFonts w:eastAsia="仿宋_GB2312"/>
          <w:kern w:val="0"/>
          <w:sz w:val="32"/>
          <w:szCs w:val="32"/>
        </w:rPr>
        <w:t xml:space="preserve">85913035  85913007  </w:t>
      </w:r>
    </w:p>
    <w:p>
      <w:pPr>
        <w:spacing w:line="280" w:lineRule="exact"/>
        <w:ind w:right="1283" w:rightChars="611"/>
        <w:rPr>
          <w:rFonts w:hint="eastAsia"/>
        </w:rPr>
      </w:pPr>
    </w:p>
    <w:sectPr>
      <w:headerReference r:id="rId3" w:type="default"/>
      <w:footerReference r:id="rId4" w:type="default"/>
      <w:footerReference r:id="rId5" w:type="even"/>
      <w:pgSz w:w="11907" w:h="16840"/>
      <w:pgMar w:top="2098" w:right="1474" w:bottom="1985" w:left="158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sz w:val="28"/>
        <w:szCs w:val="28"/>
      </w:rPr>
    </w:pPr>
    <w:r>
      <w:rPr>
        <w:sz w:val="28"/>
        <w:szCs w:val="28"/>
      </w:rPr>
      <w:t>―</w:t>
    </w:r>
    <w:r>
      <w:rPr>
        <w:rFonts w:hint="eastAsia"/>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15</w:t>
    </w:r>
    <w:r>
      <w:rPr>
        <w:rStyle w:val="9"/>
        <w:sz w:val="28"/>
        <w:szCs w:val="28"/>
      </w:rPr>
      <w:fldChar w:fldCharType="end"/>
    </w:r>
    <w:r>
      <w:rPr>
        <w:rStyle w:val="9"/>
        <w:rFonts w:hint="eastAsia"/>
        <w:sz w:val="28"/>
        <w:szCs w:val="28"/>
      </w:rPr>
      <w:t xml:space="preserve"> </w:t>
    </w:r>
    <w:r>
      <w:rPr>
        <w:sz w:val="28"/>
        <w:szCs w:val="28"/>
      </w:rPr>
      <w:t>―</w:t>
    </w:r>
    <w:r>
      <w:rPr>
        <w:rFonts w:hint="eastAsia"/>
        <w:sz w:val="28"/>
        <w:szCs w:val="28"/>
      </w:rPr>
      <w:t xml:space="preserve">   </w:t>
    </w:r>
  </w:p>
  <w:p>
    <w:pPr>
      <w:pStyle w:val="5"/>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chineseCountingThousand"/>
      <w:lvlText w:val="第%1条"/>
      <w:lvlJc w:val="left"/>
      <w:pPr>
        <w:tabs>
          <w:tab w:val="left" w:pos="2160"/>
        </w:tabs>
        <w:ind w:left="2160" w:hanging="1440"/>
      </w:pPr>
      <w:rPr>
        <w:rFonts w:hint="eastAsia" w:ascii="黑体" w:eastAsia="黑体"/>
        <w:b w:val="0"/>
        <w:i w:val="0"/>
        <w:lang w:val="en-US"/>
      </w:rPr>
    </w:lvl>
    <w:lvl w:ilvl="1" w:tentative="0">
      <w:start w:val="4"/>
      <w:numFmt w:val="japaneseCounting"/>
      <w:lvlText w:val="第%2章"/>
      <w:lvlJc w:val="left"/>
      <w:pPr>
        <w:tabs>
          <w:tab w:val="left" w:pos="-285"/>
        </w:tabs>
        <w:ind w:left="-285" w:hanging="1605"/>
      </w:pPr>
      <w:rPr>
        <w:rFonts w:hint="default"/>
      </w:rPr>
    </w:lvl>
    <w:lvl w:ilvl="2" w:tentative="0">
      <w:start w:val="1"/>
      <w:numFmt w:val="lowerRoman"/>
      <w:lvlText w:val="%3."/>
      <w:lvlJc w:val="right"/>
      <w:pPr>
        <w:tabs>
          <w:tab w:val="left" w:pos="-1050"/>
        </w:tabs>
        <w:ind w:left="-1050" w:hanging="420"/>
      </w:pPr>
    </w:lvl>
    <w:lvl w:ilvl="3" w:tentative="0">
      <w:start w:val="1"/>
      <w:numFmt w:val="decimal"/>
      <w:lvlText w:val="%4."/>
      <w:lvlJc w:val="left"/>
      <w:pPr>
        <w:tabs>
          <w:tab w:val="left" w:pos="-630"/>
        </w:tabs>
        <w:ind w:left="-630" w:hanging="420"/>
      </w:pPr>
    </w:lvl>
    <w:lvl w:ilvl="4" w:tentative="0">
      <w:start w:val="1"/>
      <w:numFmt w:val="lowerLetter"/>
      <w:lvlText w:val="%5)"/>
      <w:lvlJc w:val="left"/>
      <w:pPr>
        <w:tabs>
          <w:tab w:val="left" w:pos="-210"/>
        </w:tabs>
        <w:ind w:left="-210" w:hanging="420"/>
      </w:pPr>
    </w:lvl>
    <w:lvl w:ilvl="5" w:tentative="0">
      <w:start w:val="1"/>
      <w:numFmt w:val="lowerRoman"/>
      <w:lvlText w:val="%6."/>
      <w:lvlJc w:val="right"/>
      <w:pPr>
        <w:tabs>
          <w:tab w:val="left" w:pos="210"/>
        </w:tabs>
        <w:ind w:left="210" w:hanging="420"/>
      </w:pPr>
    </w:lvl>
    <w:lvl w:ilvl="6" w:tentative="0">
      <w:start w:val="1"/>
      <w:numFmt w:val="decimal"/>
      <w:lvlText w:val="%7."/>
      <w:lvlJc w:val="left"/>
      <w:pPr>
        <w:tabs>
          <w:tab w:val="left" w:pos="630"/>
        </w:tabs>
        <w:ind w:left="630" w:hanging="420"/>
      </w:pPr>
    </w:lvl>
    <w:lvl w:ilvl="7" w:tentative="0">
      <w:start w:val="1"/>
      <w:numFmt w:val="lowerLetter"/>
      <w:lvlText w:val="%8)"/>
      <w:lvlJc w:val="left"/>
      <w:pPr>
        <w:tabs>
          <w:tab w:val="left" w:pos="1050"/>
        </w:tabs>
        <w:ind w:left="1050" w:hanging="420"/>
      </w:pPr>
    </w:lvl>
    <w:lvl w:ilvl="8" w:tentative="0">
      <w:start w:val="1"/>
      <w:numFmt w:val="lowerRoman"/>
      <w:lvlText w:val="%9."/>
      <w:lvlJc w:val="right"/>
      <w:pPr>
        <w:tabs>
          <w:tab w:val="left" w:pos="1470"/>
        </w:tabs>
        <w:ind w:left="14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7B"/>
    <w:rsid w:val="00010932"/>
    <w:rsid w:val="000213C4"/>
    <w:rsid w:val="00023A75"/>
    <w:rsid w:val="00040A68"/>
    <w:rsid w:val="00056604"/>
    <w:rsid w:val="00082AC9"/>
    <w:rsid w:val="000A3923"/>
    <w:rsid w:val="000D3F9B"/>
    <w:rsid w:val="000D43C7"/>
    <w:rsid w:val="000E0EB3"/>
    <w:rsid w:val="000E56FC"/>
    <w:rsid w:val="000F4014"/>
    <w:rsid w:val="00100B20"/>
    <w:rsid w:val="001109AF"/>
    <w:rsid w:val="001437BA"/>
    <w:rsid w:val="00145657"/>
    <w:rsid w:val="00157170"/>
    <w:rsid w:val="00165853"/>
    <w:rsid w:val="00170807"/>
    <w:rsid w:val="00191B95"/>
    <w:rsid w:val="001A3476"/>
    <w:rsid w:val="001C4DE5"/>
    <w:rsid w:val="001E128A"/>
    <w:rsid w:val="001E3985"/>
    <w:rsid w:val="00212F90"/>
    <w:rsid w:val="002265DE"/>
    <w:rsid w:val="002362CC"/>
    <w:rsid w:val="00246C74"/>
    <w:rsid w:val="00256E7D"/>
    <w:rsid w:val="002A2D58"/>
    <w:rsid w:val="002A407B"/>
    <w:rsid w:val="002B0568"/>
    <w:rsid w:val="002B7924"/>
    <w:rsid w:val="002D375E"/>
    <w:rsid w:val="002D590C"/>
    <w:rsid w:val="002D7532"/>
    <w:rsid w:val="002E5F64"/>
    <w:rsid w:val="00310CB5"/>
    <w:rsid w:val="00321AF6"/>
    <w:rsid w:val="00325645"/>
    <w:rsid w:val="003306BC"/>
    <w:rsid w:val="00340F6E"/>
    <w:rsid w:val="00352715"/>
    <w:rsid w:val="003624D6"/>
    <w:rsid w:val="0036455A"/>
    <w:rsid w:val="00365013"/>
    <w:rsid w:val="00391FEA"/>
    <w:rsid w:val="0039202E"/>
    <w:rsid w:val="003B0D0A"/>
    <w:rsid w:val="003C4ED9"/>
    <w:rsid w:val="003D3A26"/>
    <w:rsid w:val="003D6FA9"/>
    <w:rsid w:val="003E55A2"/>
    <w:rsid w:val="003E7BDE"/>
    <w:rsid w:val="003F097F"/>
    <w:rsid w:val="003F51B3"/>
    <w:rsid w:val="003F6B3B"/>
    <w:rsid w:val="00432EA1"/>
    <w:rsid w:val="00440F0B"/>
    <w:rsid w:val="004435B4"/>
    <w:rsid w:val="00445AAD"/>
    <w:rsid w:val="004528D1"/>
    <w:rsid w:val="004810BC"/>
    <w:rsid w:val="0048275B"/>
    <w:rsid w:val="004A2735"/>
    <w:rsid w:val="004C0029"/>
    <w:rsid w:val="004E25C5"/>
    <w:rsid w:val="005025E4"/>
    <w:rsid w:val="00517DD6"/>
    <w:rsid w:val="005331C6"/>
    <w:rsid w:val="00536DBE"/>
    <w:rsid w:val="00540772"/>
    <w:rsid w:val="00543AF1"/>
    <w:rsid w:val="00546769"/>
    <w:rsid w:val="00585AEF"/>
    <w:rsid w:val="00593422"/>
    <w:rsid w:val="005B3F34"/>
    <w:rsid w:val="005B5768"/>
    <w:rsid w:val="005C55DD"/>
    <w:rsid w:val="00617318"/>
    <w:rsid w:val="006539AA"/>
    <w:rsid w:val="00673DCE"/>
    <w:rsid w:val="006C38C9"/>
    <w:rsid w:val="006D2377"/>
    <w:rsid w:val="006E26D8"/>
    <w:rsid w:val="006E5893"/>
    <w:rsid w:val="006F72BF"/>
    <w:rsid w:val="00704721"/>
    <w:rsid w:val="00724B82"/>
    <w:rsid w:val="00726C81"/>
    <w:rsid w:val="00732C5F"/>
    <w:rsid w:val="00741F70"/>
    <w:rsid w:val="007452F6"/>
    <w:rsid w:val="00745859"/>
    <w:rsid w:val="0077061B"/>
    <w:rsid w:val="007948E4"/>
    <w:rsid w:val="007970E9"/>
    <w:rsid w:val="007A1DE2"/>
    <w:rsid w:val="007B598B"/>
    <w:rsid w:val="007C1C68"/>
    <w:rsid w:val="007F228D"/>
    <w:rsid w:val="007F2A55"/>
    <w:rsid w:val="007F4236"/>
    <w:rsid w:val="00800F43"/>
    <w:rsid w:val="008645CE"/>
    <w:rsid w:val="00871360"/>
    <w:rsid w:val="00887E20"/>
    <w:rsid w:val="008A4441"/>
    <w:rsid w:val="008A6B73"/>
    <w:rsid w:val="008B0ACA"/>
    <w:rsid w:val="008B0B15"/>
    <w:rsid w:val="008B2B9B"/>
    <w:rsid w:val="008E270A"/>
    <w:rsid w:val="008E4163"/>
    <w:rsid w:val="008E4738"/>
    <w:rsid w:val="008E6D7B"/>
    <w:rsid w:val="008F693F"/>
    <w:rsid w:val="00914565"/>
    <w:rsid w:val="0094253A"/>
    <w:rsid w:val="00944A04"/>
    <w:rsid w:val="00971FBC"/>
    <w:rsid w:val="00985A6B"/>
    <w:rsid w:val="009904BD"/>
    <w:rsid w:val="00991F66"/>
    <w:rsid w:val="009956B6"/>
    <w:rsid w:val="009B0D76"/>
    <w:rsid w:val="009B513A"/>
    <w:rsid w:val="009B6074"/>
    <w:rsid w:val="009B7200"/>
    <w:rsid w:val="009D4E61"/>
    <w:rsid w:val="009D5B91"/>
    <w:rsid w:val="009D6E53"/>
    <w:rsid w:val="009E0486"/>
    <w:rsid w:val="009E1701"/>
    <w:rsid w:val="00A10B3F"/>
    <w:rsid w:val="00A168F5"/>
    <w:rsid w:val="00A2212C"/>
    <w:rsid w:val="00A33811"/>
    <w:rsid w:val="00A34797"/>
    <w:rsid w:val="00A5736F"/>
    <w:rsid w:val="00A57EC4"/>
    <w:rsid w:val="00A65BB5"/>
    <w:rsid w:val="00A674E5"/>
    <w:rsid w:val="00A702EC"/>
    <w:rsid w:val="00A851DC"/>
    <w:rsid w:val="00AB0363"/>
    <w:rsid w:val="00AC1CAA"/>
    <w:rsid w:val="00AD5AC5"/>
    <w:rsid w:val="00AE427A"/>
    <w:rsid w:val="00AE62F4"/>
    <w:rsid w:val="00B15291"/>
    <w:rsid w:val="00B1646B"/>
    <w:rsid w:val="00B32D4B"/>
    <w:rsid w:val="00B42A43"/>
    <w:rsid w:val="00B5167D"/>
    <w:rsid w:val="00B64E8D"/>
    <w:rsid w:val="00B90F87"/>
    <w:rsid w:val="00BB1E1B"/>
    <w:rsid w:val="00BB7149"/>
    <w:rsid w:val="00BE0D59"/>
    <w:rsid w:val="00BE2BEF"/>
    <w:rsid w:val="00C07CF9"/>
    <w:rsid w:val="00C138F4"/>
    <w:rsid w:val="00C20840"/>
    <w:rsid w:val="00C227B1"/>
    <w:rsid w:val="00C26CA1"/>
    <w:rsid w:val="00C443C3"/>
    <w:rsid w:val="00C61647"/>
    <w:rsid w:val="00C82055"/>
    <w:rsid w:val="00C86429"/>
    <w:rsid w:val="00CA13B2"/>
    <w:rsid w:val="00CB2E03"/>
    <w:rsid w:val="00CB411E"/>
    <w:rsid w:val="00CB7667"/>
    <w:rsid w:val="00CF552B"/>
    <w:rsid w:val="00CF7101"/>
    <w:rsid w:val="00D00778"/>
    <w:rsid w:val="00D039CF"/>
    <w:rsid w:val="00D10B52"/>
    <w:rsid w:val="00D14E49"/>
    <w:rsid w:val="00D177D9"/>
    <w:rsid w:val="00D25D5E"/>
    <w:rsid w:val="00D332A2"/>
    <w:rsid w:val="00D36518"/>
    <w:rsid w:val="00D561DB"/>
    <w:rsid w:val="00D7051B"/>
    <w:rsid w:val="00D7532E"/>
    <w:rsid w:val="00D819CA"/>
    <w:rsid w:val="00D8528F"/>
    <w:rsid w:val="00D85309"/>
    <w:rsid w:val="00D94814"/>
    <w:rsid w:val="00D94A69"/>
    <w:rsid w:val="00D94F0A"/>
    <w:rsid w:val="00DA3108"/>
    <w:rsid w:val="00DB3FC6"/>
    <w:rsid w:val="00DC1619"/>
    <w:rsid w:val="00DD484B"/>
    <w:rsid w:val="00DE4C36"/>
    <w:rsid w:val="00DE5DD8"/>
    <w:rsid w:val="00DF0C45"/>
    <w:rsid w:val="00DF713E"/>
    <w:rsid w:val="00E05702"/>
    <w:rsid w:val="00E12929"/>
    <w:rsid w:val="00E637D1"/>
    <w:rsid w:val="00E74227"/>
    <w:rsid w:val="00E847E7"/>
    <w:rsid w:val="00E96B8B"/>
    <w:rsid w:val="00EB26C4"/>
    <w:rsid w:val="00EB3659"/>
    <w:rsid w:val="00EB5246"/>
    <w:rsid w:val="00EC1756"/>
    <w:rsid w:val="00EE2B31"/>
    <w:rsid w:val="00EE4FFA"/>
    <w:rsid w:val="00F019D5"/>
    <w:rsid w:val="00F12949"/>
    <w:rsid w:val="00F170AF"/>
    <w:rsid w:val="00F222DC"/>
    <w:rsid w:val="00F32A43"/>
    <w:rsid w:val="00F426B3"/>
    <w:rsid w:val="00F64EC1"/>
    <w:rsid w:val="00F65E68"/>
    <w:rsid w:val="00FF75DF"/>
    <w:rsid w:val="18E124D1"/>
    <w:rsid w:val="347B0EE4"/>
    <w:rsid w:val="5DB37CA8"/>
    <w:rsid w:val="6C4B2C38"/>
    <w:rsid w:val="6F1654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w:basedOn w:val="1"/>
    <w:link w:val="12"/>
    <w:uiPriority w:val="0"/>
    <w:pPr>
      <w:spacing w:after="120"/>
    </w:pPr>
    <w:rPr>
      <w:sz w:val="32"/>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paragraph" w:customStyle="1" w:styleId="10">
    <w:name w:val="_Style 19"/>
    <w:basedOn w:val="2"/>
    <w:uiPriority w:val="0"/>
    <w:rPr>
      <w:rFonts w:ascii="Tahoma" w:hAnsi="Tahoma"/>
      <w:sz w:val="24"/>
    </w:rPr>
  </w:style>
  <w:style w:type="paragraph" w:customStyle="1" w:styleId="11">
    <w:name w:val=" Char Char Char2 Char"/>
    <w:basedOn w:val="2"/>
    <w:uiPriority w:val="0"/>
    <w:rPr>
      <w:rFonts w:ascii="Tahoma" w:hAnsi="Tahoma"/>
      <w:sz w:val="24"/>
    </w:rPr>
  </w:style>
  <w:style w:type="character" w:customStyle="1" w:styleId="12">
    <w:name w:val="正文文本 Char"/>
    <w:link w:val="3"/>
    <w:uiPriority w:val="0"/>
    <w:rPr>
      <w:rFonts w:eastAsia="宋体"/>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19979;&#34892;&#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下行文.dot</Template>
  <Company>qdsjw</Company>
  <Pages>15</Pages>
  <Words>812</Words>
  <Characters>4635</Characters>
  <Lines>38</Lines>
  <Paragraphs>10</Paragraphs>
  <TotalTime>4</TotalTime>
  <ScaleCrop>false</ScaleCrop>
  <LinksUpToDate>false</LinksUpToDate>
  <CharactersWithSpaces>5437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2021-03-12T09:00:00Z</dcterms:created>
  <dc:creator>User</dc:creator>
  <cp:lastModifiedBy>身边有你81</cp:lastModifiedBy>
  <cp:lastPrinted>2017-07-09T10:54:00Z</cp:lastPrinted>
  <dcterms:modified xsi:type="dcterms:W3CDTF">2021-03-22T02:34:45Z</dcterms:modified>
  <dc:title>青计〔2003〕号                      签发人：马  泽</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C65BAD00540A4098B855235B3A8C0A0C</vt:lpwstr>
  </property>
</Properties>
</file>