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2021年度山东省社会科学规划研究专项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课题指南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山东省社会科学规划研究专项总的指导思想是：高举中国特色社会主义伟大旗帜，以习近平新时代中国特色社会主义思想为指导，深入贯彻落实党的十九大和十九届二中、三中、四中、五中全会精神，深入学习贯彻习近平总书记视察山东重要讲话和重要指示批示精神，紧紧围绕“十四五”开局、庆祝建党一百周年和新时代现代化强省建设目标任务，以及省委确定的其他重点任务、重要战略部署，发挥省社科规划研究项目的示范引导作用，为“十四五”开好局、起好步和开启新时代现代化强省建设新征程提供有力的理论支撑和智力支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山东省社会科学规划研究专项包括：庆祝中国共产党成立一百周年研究专项、马克思主义大众化研究专项、沂蒙精神研究专项、山东省重大理论与现实问题协同创新研究专项、高校思想政治教育研究专项、数字山东研究专项、弘扬中华优秀传统文化研究专项、文化旅游研究专项、山东人才研究专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人应结合我省经济社会发展及学科建设实际，合理设计选题。基础理论研究，要着力推出有分量有深度的研究成果。应用对策研究，要力求提出具有针对性、可操作性的对策建议，为各级党委和政府决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一、庆祝中国共产党成立一百周年研究专项</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eastAsia" w:ascii="楷体_GB2312" w:hAnsi="楷体_GB2312" w:eastAsia="楷体_GB2312" w:cs="楷体_GB2312"/>
          <w:b/>
          <w:bCs w:val="0"/>
          <w:color w:val="auto"/>
          <w:sz w:val="32"/>
          <w:szCs w:val="21"/>
          <w:lang w:val="en-US" w:eastAsia="zh-CN"/>
        </w:rPr>
      </w:pPr>
      <w:r>
        <w:rPr>
          <w:rFonts w:hint="eastAsia" w:ascii="楷体_GB2312" w:hAnsi="楷体_GB2312" w:eastAsia="楷体_GB2312" w:cs="楷体_GB2312"/>
          <w:b/>
          <w:bCs w:val="0"/>
          <w:sz w:val="32"/>
          <w:szCs w:val="32"/>
        </w:rPr>
        <w:t>该专项研究紧紧围绕</w:t>
      </w:r>
      <w:r>
        <w:rPr>
          <w:rFonts w:hint="eastAsia" w:ascii="楷体_GB2312" w:hAnsi="楷体_GB2312" w:eastAsia="楷体_GB2312" w:cs="楷体_GB2312"/>
          <w:b/>
          <w:bCs w:val="0"/>
          <w:sz w:val="32"/>
          <w:szCs w:val="32"/>
          <w:lang w:val="en-US" w:eastAsia="zh-CN"/>
        </w:rPr>
        <w:t>庆祝建党一百周年设立，</w:t>
      </w:r>
      <w:r>
        <w:rPr>
          <w:rFonts w:hint="eastAsia" w:ascii="楷体_GB2312" w:hAnsi="楷体_GB2312" w:eastAsia="楷体_GB2312" w:cs="楷体_GB2312"/>
          <w:b/>
          <w:bCs w:val="0"/>
          <w:color w:val="auto"/>
          <w:sz w:val="32"/>
          <w:szCs w:val="32"/>
          <w:lang w:val="en-US" w:eastAsia="zh-CN"/>
        </w:rPr>
        <w:t>由两部分组成：“中共山东党史研究专题”和“党的建设理论与实践研究专题”。申报</w:t>
      </w:r>
      <w:r>
        <w:rPr>
          <w:rFonts w:hint="eastAsia" w:ascii="楷体_GB2312" w:hAnsi="楷体_GB2312" w:eastAsia="楷体_GB2312" w:cs="楷体_GB2312"/>
          <w:b/>
          <w:bCs w:val="0"/>
          <w:color w:val="auto"/>
          <w:sz w:val="32"/>
          <w:szCs w:val="32"/>
        </w:rPr>
        <w:t>者可以按照选题确定的方向，</w:t>
      </w:r>
      <w:r>
        <w:rPr>
          <w:rFonts w:hint="eastAsia" w:ascii="楷体_GB2312" w:hAnsi="楷体_GB2312" w:eastAsia="楷体_GB2312" w:cs="楷体_GB2312"/>
          <w:b/>
          <w:bCs w:val="0"/>
          <w:color w:val="auto"/>
          <w:sz w:val="32"/>
          <w:szCs w:val="21"/>
        </w:rPr>
        <w:t>选择不同的角度自行</w:t>
      </w:r>
      <w:r>
        <w:rPr>
          <w:rFonts w:hint="eastAsia" w:ascii="楷体_GB2312" w:hAnsi="楷体_GB2312" w:eastAsia="楷体_GB2312" w:cs="楷体_GB2312"/>
          <w:b/>
          <w:bCs w:val="0"/>
          <w:color w:val="auto"/>
          <w:sz w:val="32"/>
          <w:szCs w:val="21"/>
          <w:lang w:eastAsia="zh-CN"/>
        </w:rPr>
        <w:t>设计</w:t>
      </w:r>
      <w:r>
        <w:rPr>
          <w:rFonts w:hint="eastAsia" w:ascii="楷体_GB2312" w:hAnsi="楷体_GB2312" w:eastAsia="楷体_GB2312" w:cs="楷体_GB2312"/>
          <w:b/>
          <w:bCs w:val="0"/>
          <w:color w:val="auto"/>
          <w:sz w:val="32"/>
          <w:szCs w:val="21"/>
        </w:rPr>
        <w:t>具体</w:t>
      </w:r>
      <w:r>
        <w:rPr>
          <w:rFonts w:hint="eastAsia" w:ascii="楷体_GB2312" w:hAnsi="楷体_GB2312" w:eastAsia="楷体_GB2312" w:cs="楷体_GB2312"/>
          <w:b/>
          <w:bCs w:val="0"/>
          <w:color w:val="auto"/>
          <w:sz w:val="32"/>
          <w:szCs w:val="21"/>
          <w:lang w:eastAsia="zh-CN"/>
        </w:rPr>
        <w:t>研究</w:t>
      </w:r>
      <w:r>
        <w:rPr>
          <w:rFonts w:hint="eastAsia" w:ascii="楷体_GB2312" w:hAnsi="楷体_GB2312" w:eastAsia="楷体_GB2312" w:cs="楷体_GB2312"/>
          <w:b/>
          <w:bCs w:val="0"/>
          <w:color w:val="auto"/>
          <w:sz w:val="32"/>
          <w:szCs w:val="21"/>
        </w:rPr>
        <w:t>题目。</w:t>
      </w:r>
      <w:r>
        <w:rPr>
          <w:rFonts w:hint="eastAsia" w:ascii="楷体_GB2312" w:hAnsi="楷体_GB2312" w:eastAsia="楷体_GB2312" w:cs="楷体_GB2312"/>
          <w:b/>
          <w:bCs w:val="0"/>
          <w:color w:val="auto"/>
          <w:sz w:val="32"/>
          <w:szCs w:val="21"/>
          <w:lang w:val="en-US" w:eastAsia="zh-CN"/>
        </w:rPr>
        <w:t xml:space="preserve">  </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default"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中共山东党史研究专题</w:t>
      </w:r>
      <w:r>
        <w:rPr>
          <w:rFonts w:hint="eastAsia" w:ascii="楷体_GB2312" w:hAnsi="楷体_GB2312" w:eastAsia="楷体_GB2312" w:cs="楷体_GB2312"/>
          <w:b/>
          <w:bCs w:val="0"/>
          <w:sz w:val="32"/>
          <w:szCs w:val="32"/>
          <w:lang w:eastAsia="zh-CN"/>
        </w:rPr>
        <w:t>成果形式为研究报告。</w:t>
      </w:r>
      <w:r>
        <w:rPr>
          <w:rFonts w:hint="eastAsia" w:ascii="楷体_GB2312" w:hAnsi="楷体_GB2312" w:eastAsia="楷体_GB2312" w:cs="楷体_GB2312"/>
          <w:b/>
          <w:bCs w:val="0"/>
          <w:color w:val="FF0000"/>
          <w:sz w:val="32"/>
          <w:szCs w:val="32"/>
          <w:lang w:eastAsia="zh-CN"/>
        </w:rPr>
        <w:t>完成时限2年。</w:t>
      </w:r>
      <w:r>
        <w:rPr>
          <w:rFonts w:hint="eastAsia" w:ascii="楷体_GB2312" w:hAnsi="楷体_GB2312" w:eastAsia="楷体_GB2312" w:cs="楷体_GB2312"/>
          <w:b/>
          <w:bCs w:val="0"/>
          <w:sz w:val="32"/>
          <w:szCs w:val="32"/>
          <w:lang w:eastAsia="zh-CN"/>
        </w:rPr>
        <w:t>计划立项</w:t>
      </w:r>
      <w:r>
        <w:rPr>
          <w:rFonts w:hint="eastAsia" w:ascii="楷体_GB2312" w:hAnsi="楷体_GB2312" w:eastAsia="楷体_GB2312" w:cs="楷体_GB2312"/>
          <w:b/>
          <w:bCs w:val="0"/>
          <w:sz w:val="32"/>
          <w:szCs w:val="32"/>
          <w:lang w:val="en-US" w:eastAsia="zh-CN"/>
        </w:rPr>
        <w:t>30项。申报材料中的项目类别为“中共山东党史研究专题”。</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党的建设理论与实践研究专</w:t>
      </w:r>
      <w:r>
        <w:rPr>
          <w:rFonts w:hint="eastAsia" w:ascii="楷体_GB2312" w:hAnsi="楷体_GB2312" w:eastAsia="楷体_GB2312" w:cs="楷体_GB2312"/>
          <w:b/>
          <w:bCs w:val="0"/>
          <w:sz w:val="32"/>
          <w:szCs w:val="32"/>
          <w:lang w:val="en-US" w:eastAsia="zh-CN"/>
        </w:rPr>
        <w:t>题，</w:t>
      </w:r>
      <w:r>
        <w:rPr>
          <w:rFonts w:hint="eastAsia" w:ascii="楷体_GB2312" w:hAnsi="楷体_GB2312" w:eastAsia="楷体_GB2312" w:cs="楷体_GB2312"/>
          <w:b/>
          <w:bCs/>
          <w:color w:val="auto"/>
          <w:sz w:val="32"/>
          <w:szCs w:val="32"/>
          <w:lang w:val="en-US" w:eastAsia="zh-CN"/>
        </w:rPr>
        <w:t>社科研究机构、高等院校、市级以上党校及党史研究院凡具有副高以上职称或者博士学位的研究人员均可申报。</w:t>
      </w:r>
      <w:r>
        <w:rPr>
          <w:rFonts w:hint="eastAsia" w:ascii="楷体_GB2312" w:hAnsi="楷体_GB2312" w:eastAsia="楷体_GB2312" w:cs="楷体_GB2312"/>
          <w:b/>
          <w:bCs w:val="0"/>
          <w:sz w:val="32"/>
          <w:szCs w:val="32"/>
          <w:lang w:eastAsia="zh-CN"/>
        </w:rPr>
        <w:t>成果形式为研究报告的，申请结项时，重点项目需报送在全国中文核心期刊、中国人文社会科学核心期刊发表的阶段性研究成果2篇（其中1篇需是CSSCI来源期刊）；一般项目需报送在全国中文核心期刊、中国人文社会科学核心期刊发表的阶段性研究成果1篇。</w:t>
      </w:r>
      <w:r>
        <w:rPr>
          <w:rFonts w:hint="eastAsia" w:ascii="楷体_GB2312" w:hAnsi="楷体_GB2312" w:eastAsia="楷体_GB2312" w:cs="楷体_GB2312"/>
          <w:b/>
          <w:bCs w:val="0"/>
          <w:color w:val="FF0000"/>
          <w:sz w:val="32"/>
          <w:szCs w:val="32"/>
          <w:lang w:eastAsia="zh-CN"/>
        </w:rPr>
        <w:t>重点项目完成时限一般不超过2年，一般项目完成时限一般不超过1年。</w:t>
      </w:r>
      <w:r>
        <w:rPr>
          <w:rFonts w:hint="eastAsia" w:ascii="楷体_GB2312" w:hAnsi="楷体_GB2312" w:eastAsia="楷体_GB2312" w:cs="楷体_GB2312"/>
          <w:b/>
          <w:bCs w:val="0"/>
          <w:sz w:val="32"/>
          <w:szCs w:val="32"/>
          <w:lang w:eastAsia="zh-CN"/>
        </w:rPr>
        <w:t>计划立项25项，其中重点项目</w:t>
      </w:r>
      <w:r>
        <w:rPr>
          <w:rFonts w:hint="eastAsia" w:ascii="楷体_GB2312" w:hAnsi="楷体_GB2312" w:eastAsia="楷体_GB2312" w:cs="楷体_GB2312"/>
          <w:b/>
          <w:bCs w:val="0"/>
          <w:sz w:val="32"/>
          <w:szCs w:val="32"/>
          <w:lang w:val="en-US" w:eastAsia="zh-CN"/>
        </w:rPr>
        <w:t>4</w:t>
      </w:r>
      <w:r>
        <w:rPr>
          <w:rFonts w:hint="eastAsia" w:ascii="楷体_GB2312" w:hAnsi="楷体_GB2312" w:eastAsia="楷体_GB2312" w:cs="楷体_GB2312"/>
          <w:b/>
          <w:bCs w:val="0"/>
          <w:sz w:val="32"/>
          <w:szCs w:val="32"/>
          <w:lang w:eastAsia="zh-CN"/>
        </w:rPr>
        <w:t>项，一般项目</w:t>
      </w:r>
      <w:r>
        <w:rPr>
          <w:rFonts w:hint="eastAsia" w:ascii="楷体_GB2312" w:hAnsi="楷体_GB2312" w:eastAsia="楷体_GB2312" w:cs="楷体_GB2312"/>
          <w:b/>
          <w:bCs w:val="0"/>
          <w:sz w:val="32"/>
          <w:szCs w:val="32"/>
          <w:lang w:val="en-US" w:eastAsia="zh-CN"/>
        </w:rPr>
        <w:t>21</w:t>
      </w:r>
      <w:r>
        <w:rPr>
          <w:rFonts w:hint="eastAsia" w:ascii="楷体_GB2312" w:hAnsi="楷体_GB2312" w:eastAsia="楷体_GB2312" w:cs="楷体_GB2312"/>
          <w:b/>
          <w:bCs w:val="0"/>
          <w:sz w:val="32"/>
          <w:szCs w:val="32"/>
          <w:lang w:eastAsia="zh-CN"/>
        </w:rPr>
        <w:t>项。</w:t>
      </w:r>
      <w:r>
        <w:rPr>
          <w:rFonts w:hint="eastAsia" w:ascii="楷体_GB2312" w:hAnsi="楷体_GB2312" w:eastAsia="楷体_GB2312" w:cs="楷体_GB2312"/>
          <w:b/>
          <w:bCs w:val="0"/>
          <w:sz w:val="32"/>
          <w:szCs w:val="32"/>
          <w:lang w:val="en-US" w:eastAsia="zh-CN"/>
        </w:rPr>
        <w:t>申报材料中的项目类别为</w:t>
      </w:r>
      <w:r>
        <w:rPr>
          <w:rFonts w:hint="eastAsia" w:ascii="楷体_GB2312" w:hAnsi="楷体_GB2312" w:eastAsia="楷体_GB2312" w:cs="楷体_GB2312"/>
          <w:b/>
          <w:bCs w:val="0"/>
          <w:color w:val="auto"/>
          <w:sz w:val="32"/>
          <w:szCs w:val="32"/>
          <w:lang w:val="en-US" w:eastAsia="zh-CN"/>
        </w:rPr>
        <w:t>“党的建设理论与实践研究专题”。</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中共山东党史研究专题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1.百年视阈下党的理论创新在山东实践研究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2.百年视阈下山东党组织践行初心使命研究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3.百年视阈下山东党组织应对风险挑战研究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4.百年视阈下山东党组织推进自我革命研究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5.百年视阈下山东红色基因的历史内涵和时代价值研究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6.山东重要党史事件、重要党史人物与百年大党研究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7.山东地方志编纂及旧志整理研究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8.山东方志与优秀传统文化传承研究</w:t>
      </w:r>
    </w:p>
    <w:p>
      <w:pPr>
        <w:pStyle w:val="2"/>
        <w:spacing w:line="600" w:lineRule="exact"/>
        <w:rPr>
          <w:rFonts w:hint="eastAsia"/>
          <w:sz w:val="32"/>
          <w:szCs w:val="32"/>
          <w:lang w:val="en-US" w:eastAsia="zh-CN"/>
        </w:rPr>
      </w:pPr>
    </w:p>
    <w:p>
      <w:pPr>
        <w:pStyle w:val="2"/>
        <w:spacing w:line="600" w:lineRule="exact"/>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党的建设理论与实践研究专题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1.习近平总书记关于新时代全面加强党的建设重要论述研究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2.贯彻落实习近平总书记关于党的建设重要论述的山东实践和典型案例研究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3.提高党的建设质量研究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4.建党百年与百年党建研究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5.党的理论创新、实践创造和历史经验研究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二、马克思主义大众化研究专项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该专项主要围绕如何让马克思主义真理走入大众之中，让党的最新理论成果“飞入寻常百姓家”展开研究，引导人们用马克思主义立场观点方法分析研究现实问题。研究成果力求对基层理论宣讲工作具有指导意义。</w:t>
      </w:r>
      <w:r>
        <w:rPr>
          <w:rFonts w:hint="eastAsia" w:ascii="楷体_GB2312" w:hAnsi="楷体_GB2312" w:eastAsia="楷体_GB2312" w:cs="楷体_GB2312"/>
          <w:b/>
          <w:bCs/>
          <w:color w:val="auto"/>
          <w:sz w:val="32"/>
          <w:szCs w:val="32"/>
        </w:rPr>
        <w:t>鼓励高校、党校等与各级党委讲师团人员联合申报、协同创新，打造高质量研究成果</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高校、党校人员申报时，不</w:t>
      </w:r>
      <w:r>
        <w:rPr>
          <w:rFonts w:hint="eastAsia" w:ascii="楷体_GB2312" w:hAnsi="楷体_GB2312" w:eastAsia="楷体_GB2312" w:cs="楷体_GB2312"/>
          <w:b/>
          <w:bCs/>
          <w:color w:val="auto"/>
          <w:sz w:val="32"/>
          <w:szCs w:val="32"/>
          <w:lang w:eastAsia="zh-CN"/>
        </w:rPr>
        <w:t>得</w:t>
      </w:r>
      <w:r>
        <w:rPr>
          <w:rFonts w:hint="eastAsia" w:ascii="楷体_GB2312" w:hAnsi="楷体_GB2312" w:eastAsia="楷体_GB2312" w:cs="楷体_GB2312"/>
          <w:b/>
          <w:bCs/>
          <w:color w:val="auto"/>
          <w:sz w:val="32"/>
          <w:szCs w:val="32"/>
        </w:rPr>
        <w:t>以宣讲工作者协会会员和宣</w:t>
      </w:r>
      <w:r>
        <w:rPr>
          <w:rFonts w:hint="eastAsia" w:ascii="楷体_GB2312" w:hAnsi="楷体_GB2312" w:eastAsia="楷体_GB2312" w:cs="楷体_GB2312"/>
          <w:b/>
          <w:bCs/>
          <w:color w:val="auto"/>
          <w:sz w:val="32"/>
          <w:szCs w:val="32"/>
          <w:lang w:eastAsia="zh-CN"/>
        </w:rPr>
        <w:t>讲</w:t>
      </w:r>
      <w:r>
        <w:rPr>
          <w:rFonts w:hint="eastAsia" w:ascii="楷体_GB2312" w:hAnsi="楷体_GB2312" w:eastAsia="楷体_GB2312" w:cs="楷体_GB2312"/>
          <w:b/>
          <w:bCs/>
          <w:color w:val="auto"/>
          <w:sz w:val="32"/>
          <w:szCs w:val="32"/>
        </w:rPr>
        <w:t>基地人员名义进行申报。</w:t>
      </w:r>
      <w:r>
        <w:rPr>
          <w:rFonts w:hint="eastAsia" w:ascii="楷体_GB2312" w:hAnsi="楷体_GB2312" w:eastAsia="楷体_GB2312" w:cs="楷体_GB2312"/>
          <w:b/>
          <w:bCs/>
          <w:color w:val="auto"/>
          <w:sz w:val="32"/>
          <w:szCs w:val="32"/>
          <w:lang w:eastAsia="zh-CN"/>
        </w:rPr>
        <w:t>研究</w:t>
      </w:r>
      <w:r>
        <w:rPr>
          <w:rFonts w:hint="eastAsia" w:ascii="楷体_GB2312" w:hAnsi="楷体_GB2312" w:eastAsia="楷体_GB2312" w:cs="楷体_GB2312"/>
          <w:b/>
          <w:bCs/>
          <w:color w:val="auto"/>
          <w:sz w:val="32"/>
          <w:szCs w:val="32"/>
        </w:rPr>
        <w:t>成果可以研究报告或通俗理论读物等形式报送。</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FF0000"/>
          <w:sz w:val="32"/>
          <w:szCs w:val="32"/>
          <w:lang w:eastAsia="zh-CN"/>
        </w:rPr>
        <w:t>研究时限一般不超过</w:t>
      </w:r>
      <w:r>
        <w:rPr>
          <w:rFonts w:hint="eastAsia" w:ascii="楷体_GB2312" w:hAnsi="楷体_GB2312" w:eastAsia="楷体_GB2312" w:cs="楷体_GB2312"/>
          <w:b/>
          <w:bCs/>
          <w:color w:val="FF0000"/>
          <w:sz w:val="32"/>
          <w:szCs w:val="32"/>
          <w:lang w:val="en-US" w:eastAsia="zh-CN"/>
        </w:rPr>
        <w:t>1年，特殊情况可申请延期一次，延期最长不超过6个月。</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15项。</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1.党的创新理论对象化分众化互动化宣讲研究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2.党的创新理论走进基层研究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3.党的创新理论走进青年研究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4.党的创新理论国际传播研究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5.中国共产党党史宣传宣讲研究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6.中国共产党推进马克思主义大众化历史经验研究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7.融媒体格局下立体宣讲研究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8.构建新时代理论宣讲工作大格局研究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9.打造山东特色理论宣讲品牌研究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三、沂蒙精神研究专项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为贯彻落实习近平总书记视察山东重要讲话精神，深入阐发“水乳交融、生死与共”的沂蒙精神特质和时代价值，设立该专项。专项分为重点项目和一般项目。项目结项在报送研究报告进行鉴定的同时，重点项目需报送在全国中文核心期刊、中国人文社会科学核心期刊发表的阶段性研究成果1篇；一般项目需报送在有正式刊号的期刊上发表的阶段性成果1篇。</w:t>
      </w:r>
      <w:r>
        <w:rPr>
          <w:rFonts w:hint="eastAsia" w:ascii="楷体_GB2312" w:hAnsi="楷体_GB2312" w:eastAsia="楷体_GB2312" w:cs="楷体_GB2312"/>
          <w:b/>
          <w:bCs/>
          <w:color w:val="FF0000"/>
          <w:sz w:val="32"/>
          <w:szCs w:val="32"/>
          <w:lang w:val="en-US" w:eastAsia="zh-CN"/>
        </w:rPr>
        <w:t>重点项目完成时限一般不超过2年，一般项目完成时限一般不超过1年。</w:t>
      </w:r>
      <w:r>
        <w:rPr>
          <w:rFonts w:hint="eastAsia" w:ascii="楷体_GB2312" w:hAnsi="楷体_GB2312" w:eastAsia="楷体_GB2312" w:cs="楷体_GB2312"/>
          <w:b/>
          <w:bCs/>
          <w:color w:val="auto"/>
          <w:sz w:val="32"/>
          <w:szCs w:val="32"/>
          <w:highlight w:val="none"/>
          <w:lang w:val="en-US" w:eastAsia="zh-CN"/>
        </w:rPr>
        <w:t>计划立项15项，其中重点项目3项，一般项目12项。</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1.习近平总书记关于沂蒙精神重要论述研究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2.沂蒙精神的形成与发展研究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3.沂蒙精神滋养党的初心使命研究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4.沂蒙精神特质与内涵研究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5.沂蒙革命根据地的历史与发展经验研究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6.沂蒙红色歌曲及其当代价值研究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7.沂蒙精神与新时代党群关系研究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8.沂蒙精神与党的优良传统、优良作风研究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9.弘扬沂蒙精神的途径和方法研究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10.弘扬沂蒙精神助推乡村振兴、革命老区发展研究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11.媒体融合与沂蒙精神传播路径创新研究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12.沂蒙精神与社会主义现代化国家建设研究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四、山东省重大理论与现实问题协同创新研究专项</w:t>
      </w:r>
    </w:p>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该专项</w:t>
      </w:r>
      <w:r>
        <w:rPr>
          <w:rFonts w:hint="eastAsia" w:ascii="楷体_GB2312" w:hAnsi="楷体_GB2312" w:eastAsia="楷体_GB2312" w:cs="楷体_GB2312"/>
          <w:b/>
          <w:bCs/>
          <w:color w:val="auto"/>
          <w:sz w:val="32"/>
          <w:szCs w:val="32"/>
        </w:rPr>
        <w:t>研究要坚持理论与实际相统一，立足我省省情，突出问题导向，围绕我省经济社会发展亟待解决的重大理论与现实问题，开展前瞻性、战略性、针对性研究。避免一般的学理性研究和纯学术研究</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研究成果能为</w:t>
      </w:r>
      <w:r>
        <w:rPr>
          <w:rFonts w:hint="eastAsia" w:ascii="楷体_GB2312" w:hAnsi="楷体_GB2312" w:eastAsia="楷体_GB2312" w:cs="楷体_GB2312"/>
          <w:b/>
          <w:bCs/>
          <w:color w:val="auto"/>
          <w:sz w:val="32"/>
          <w:szCs w:val="32"/>
          <w:lang w:eastAsia="zh-CN"/>
        </w:rPr>
        <w:t>党委政府</w:t>
      </w:r>
      <w:r>
        <w:rPr>
          <w:rFonts w:hint="eastAsia" w:ascii="楷体_GB2312" w:hAnsi="楷体_GB2312" w:eastAsia="楷体_GB2312" w:cs="楷体_GB2312"/>
          <w:b/>
          <w:bCs/>
          <w:color w:val="auto"/>
          <w:sz w:val="32"/>
          <w:szCs w:val="32"/>
        </w:rPr>
        <w:t>科学决策，为加快现代化强省建设，提供</w:t>
      </w:r>
      <w:r>
        <w:rPr>
          <w:rFonts w:hint="eastAsia" w:ascii="楷体_GB2312" w:hAnsi="楷体_GB2312" w:eastAsia="楷体_GB2312" w:cs="楷体_GB2312"/>
          <w:b/>
          <w:bCs/>
          <w:color w:val="auto"/>
          <w:sz w:val="32"/>
          <w:szCs w:val="32"/>
          <w:lang w:eastAsia="zh-CN"/>
        </w:rPr>
        <w:t>具有</w:t>
      </w:r>
      <w:r>
        <w:rPr>
          <w:rFonts w:hint="eastAsia" w:ascii="楷体_GB2312" w:hAnsi="楷体_GB2312" w:eastAsia="楷体_GB2312" w:cs="楷体_GB2312"/>
          <w:b/>
          <w:bCs/>
          <w:color w:val="auto"/>
          <w:sz w:val="32"/>
          <w:szCs w:val="32"/>
        </w:rPr>
        <w:t>重要参考价值的决策咨询和对策建议。</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社科研究机构和高等院校凡具有副高以上职称或者博士学位的研究</w:t>
      </w:r>
      <w:r>
        <w:rPr>
          <w:rFonts w:hint="eastAsia" w:ascii="楷体_GB2312" w:hAnsi="楷体_GB2312" w:eastAsia="楷体_GB2312" w:cs="楷体_GB2312"/>
          <w:b/>
          <w:bCs/>
          <w:color w:val="auto"/>
          <w:sz w:val="32"/>
          <w:szCs w:val="32"/>
          <w:lang w:eastAsia="zh-CN"/>
        </w:rPr>
        <w:t>或教学</w:t>
      </w:r>
      <w:r>
        <w:rPr>
          <w:rFonts w:hint="eastAsia" w:ascii="楷体_GB2312" w:hAnsi="楷体_GB2312" w:eastAsia="楷体_GB2312" w:cs="楷体_GB2312"/>
          <w:b/>
          <w:bCs/>
          <w:color w:val="auto"/>
          <w:sz w:val="32"/>
          <w:szCs w:val="32"/>
        </w:rPr>
        <w:t>人员均可申报。</w:t>
      </w:r>
      <w:r>
        <w:rPr>
          <w:rFonts w:hint="eastAsia" w:ascii="楷体_GB2312" w:hAnsi="楷体_GB2312" w:eastAsia="楷体_GB2312" w:cs="楷体_GB2312"/>
          <w:b/>
          <w:bCs/>
          <w:color w:val="auto"/>
          <w:sz w:val="32"/>
          <w:szCs w:val="32"/>
          <w:lang w:eastAsia="zh-CN"/>
        </w:rPr>
        <w:t>申报者应</w:t>
      </w:r>
      <w:r>
        <w:rPr>
          <w:rFonts w:hint="eastAsia" w:ascii="楷体_GB2312" w:hAnsi="楷体_GB2312" w:eastAsia="楷体_GB2312" w:cs="楷体_GB2312"/>
          <w:b/>
          <w:bCs/>
          <w:color w:val="auto"/>
          <w:sz w:val="32"/>
          <w:szCs w:val="32"/>
        </w:rPr>
        <w:t>紧扣选题研究方向，结合我省经济社会发展实际，选择不同的研究角度和侧重点，自行设计具体题目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“涉台港澳项目”</w:t>
      </w:r>
      <w:r>
        <w:rPr>
          <w:rFonts w:hint="eastAsia" w:ascii="楷体_GB2312" w:hAnsi="楷体_GB2312" w:eastAsia="楷体_GB2312" w:cs="楷体_GB2312"/>
          <w:b/>
          <w:bCs/>
          <w:color w:val="auto"/>
          <w:sz w:val="32"/>
          <w:szCs w:val="32"/>
          <w:lang w:val="en-US" w:eastAsia="zh-CN"/>
        </w:rPr>
        <w:t>按照</w:t>
      </w:r>
      <w:r>
        <w:rPr>
          <w:rFonts w:hint="eastAsia" w:ascii="楷体_GB2312" w:hAnsi="楷体_GB2312" w:eastAsia="楷体_GB2312" w:cs="楷体_GB2312"/>
          <w:b/>
          <w:bCs/>
          <w:color w:val="auto"/>
          <w:sz w:val="32"/>
          <w:szCs w:val="32"/>
        </w:rPr>
        <w:t>原题申报</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。鼓励大胆探索、协同攻关和跨学科研究。</w:t>
      </w:r>
      <w:r>
        <w:rPr>
          <w:rFonts w:hint="eastAsia" w:ascii="楷体_GB2312" w:hAnsi="楷体_GB2312" w:eastAsia="楷体_GB2312" w:cs="楷体_GB2312"/>
          <w:b/>
          <w:bCs/>
          <w:color w:val="auto"/>
          <w:sz w:val="32"/>
          <w:szCs w:val="32"/>
          <w:lang w:eastAsia="zh-CN"/>
        </w:rPr>
        <w:t>成果形式为研究报告。作为阶段性成果的</w:t>
      </w:r>
      <w:r>
        <w:rPr>
          <w:rFonts w:hint="eastAsia" w:ascii="楷体_GB2312" w:hAnsi="楷体_GB2312" w:eastAsia="楷体_GB2312" w:cs="楷体_GB2312"/>
          <w:b/>
          <w:bCs/>
          <w:color w:val="auto"/>
          <w:sz w:val="32"/>
          <w:szCs w:val="32"/>
        </w:rPr>
        <w:t>对策建议未获批示的，重点项目需报送在全国中文核心期刊、中国人文社会科学核心期刊发表的阶段性研究成果2篇（其中1篇需是CSSCI来源期刊）；一般项目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涉台港澳研究项目需报送在全国中文核心期刊</w:t>
      </w:r>
      <w:r>
        <w:rPr>
          <w:rFonts w:hint="eastAsia" w:ascii="楷体_GB2312" w:hAnsi="楷体_GB2312" w:eastAsia="楷体_GB2312" w:cs="楷体_GB2312"/>
          <w:b/>
          <w:bCs/>
          <w:color w:val="auto"/>
          <w:sz w:val="32"/>
          <w:szCs w:val="32"/>
          <w:lang w:eastAsia="zh-CN"/>
        </w:rPr>
        <w:t>或</w:t>
      </w:r>
      <w:r>
        <w:rPr>
          <w:rFonts w:hint="eastAsia" w:ascii="楷体_GB2312" w:hAnsi="楷体_GB2312" w:eastAsia="楷体_GB2312" w:cs="楷体_GB2312"/>
          <w:b/>
          <w:bCs/>
          <w:color w:val="auto"/>
          <w:sz w:val="32"/>
          <w:szCs w:val="32"/>
        </w:rPr>
        <w:t>中国人文社会科学核心期刊发表的阶段性研究成果1篇，方可申请结项。</w:t>
      </w:r>
      <w:r>
        <w:rPr>
          <w:rFonts w:hint="eastAsia" w:ascii="楷体_GB2312" w:hAnsi="楷体_GB2312" w:eastAsia="楷体_GB2312" w:cs="楷体_GB2312"/>
          <w:b/>
          <w:bCs/>
          <w:color w:val="FF0000"/>
          <w:sz w:val="32"/>
          <w:szCs w:val="32"/>
        </w:rPr>
        <w:t>项目完成时限为202</w:t>
      </w:r>
      <w:r>
        <w:rPr>
          <w:rFonts w:hint="eastAsia" w:ascii="楷体_GB2312" w:hAnsi="楷体_GB2312" w:eastAsia="楷体_GB2312" w:cs="楷体_GB2312"/>
          <w:b/>
          <w:bCs/>
          <w:color w:val="FF0000"/>
          <w:sz w:val="32"/>
          <w:szCs w:val="32"/>
          <w:lang w:val="en-US" w:eastAsia="zh-CN"/>
        </w:rPr>
        <w:t>2</w:t>
      </w:r>
      <w:r>
        <w:rPr>
          <w:rFonts w:hint="eastAsia" w:ascii="楷体_GB2312" w:hAnsi="楷体_GB2312" w:eastAsia="楷体_GB2312" w:cs="楷体_GB2312"/>
          <w:b/>
          <w:bCs/>
          <w:color w:val="FF0000"/>
          <w:sz w:val="32"/>
          <w:szCs w:val="32"/>
        </w:rPr>
        <w:t>年12月底。202</w:t>
      </w:r>
      <w:r>
        <w:rPr>
          <w:rFonts w:hint="eastAsia" w:ascii="楷体_GB2312" w:hAnsi="楷体_GB2312" w:eastAsia="楷体_GB2312" w:cs="楷体_GB2312"/>
          <w:b/>
          <w:bCs/>
          <w:color w:val="FF0000"/>
          <w:sz w:val="32"/>
          <w:szCs w:val="32"/>
          <w:lang w:val="en-US" w:eastAsia="zh-CN"/>
        </w:rPr>
        <w:t>3</w:t>
      </w:r>
      <w:r>
        <w:rPr>
          <w:rFonts w:hint="eastAsia" w:ascii="楷体_GB2312" w:hAnsi="楷体_GB2312" w:eastAsia="楷体_GB2312" w:cs="楷体_GB2312"/>
          <w:b/>
          <w:bCs/>
          <w:color w:val="FF0000"/>
          <w:sz w:val="32"/>
          <w:szCs w:val="32"/>
        </w:rPr>
        <w:t>年</w:t>
      </w:r>
      <w:r>
        <w:rPr>
          <w:rFonts w:hint="eastAsia" w:ascii="楷体_GB2312" w:hAnsi="楷体_GB2312" w:eastAsia="楷体_GB2312" w:cs="楷体_GB2312"/>
          <w:b/>
          <w:bCs/>
          <w:color w:val="FF0000"/>
          <w:sz w:val="32"/>
          <w:szCs w:val="32"/>
          <w:lang w:val="en-US" w:eastAsia="zh-CN"/>
        </w:rPr>
        <w:t>12</w:t>
      </w:r>
      <w:r>
        <w:rPr>
          <w:rFonts w:hint="eastAsia" w:ascii="楷体_GB2312" w:hAnsi="楷体_GB2312" w:eastAsia="楷体_GB2312" w:cs="楷体_GB2312"/>
          <w:b/>
          <w:bCs/>
          <w:color w:val="FF0000"/>
          <w:sz w:val="32"/>
          <w:szCs w:val="32"/>
        </w:rPr>
        <w:t>月</w:t>
      </w:r>
      <w:r>
        <w:rPr>
          <w:rFonts w:hint="eastAsia" w:ascii="楷体_GB2312" w:hAnsi="楷体_GB2312" w:eastAsia="楷体_GB2312" w:cs="楷体_GB2312"/>
          <w:b/>
          <w:bCs/>
          <w:color w:val="FF0000"/>
          <w:sz w:val="32"/>
          <w:szCs w:val="32"/>
          <w:lang w:val="en-US" w:eastAsia="zh-CN"/>
        </w:rPr>
        <w:t>31</w:t>
      </w:r>
      <w:r>
        <w:rPr>
          <w:rFonts w:hint="eastAsia" w:ascii="楷体_GB2312" w:hAnsi="楷体_GB2312" w:eastAsia="楷体_GB2312" w:cs="楷体_GB2312"/>
          <w:b/>
          <w:bCs/>
          <w:color w:val="FF0000"/>
          <w:sz w:val="32"/>
          <w:szCs w:val="32"/>
        </w:rPr>
        <w:t>日仍然未完成结项的项目予以撤项。</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25项，其中，</w:t>
      </w:r>
      <w:r>
        <w:rPr>
          <w:rFonts w:hint="eastAsia" w:ascii="楷体_GB2312" w:hAnsi="楷体_GB2312" w:eastAsia="楷体_GB2312" w:cs="楷体_GB2312"/>
          <w:b/>
          <w:bCs/>
          <w:color w:val="auto"/>
          <w:sz w:val="32"/>
          <w:szCs w:val="32"/>
          <w:lang w:eastAsia="zh-CN"/>
        </w:rPr>
        <w:t>重点项目</w:t>
      </w: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lang w:eastAsia="zh-CN"/>
        </w:rPr>
        <w:t>项，一般项目</w:t>
      </w:r>
      <w:r>
        <w:rPr>
          <w:rFonts w:hint="eastAsia" w:ascii="楷体_GB2312" w:hAnsi="楷体_GB2312" w:eastAsia="楷体_GB2312" w:cs="楷体_GB2312"/>
          <w:b/>
          <w:bCs/>
          <w:color w:val="auto"/>
          <w:sz w:val="32"/>
          <w:szCs w:val="32"/>
          <w:lang w:val="en-US" w:eastAsia="zh-CN"/>
        </w:rPr>
        <w:t>15</w:t>
      </w:r>
      <w:r>
        <w:rPr>
          <w:rFonts w:hint="eastAsia" w:ascii="楷体_GB2312" w:hAnsi="楷体_GB2312" w:eastAsia="楷体_GB2312" w:cs="楷体_GB2312"/>
          <w:b/>
          <w:bCs/>
          <w:color w:val="auto"/>
          <w:sz w:val="32"/>
          <w:szCs w:val="32"/>
          <w:lang w:eastAsia="zh-CN"/>
        </w:rPr>
        <w:t>项，</w:t>
      </w:r>
      <w:r>
        <w:rPr>
          <w:rFonts w:hint="eastAsia" w:ascii="楷体_GB2312" w:hAnsi="楷体_GB2312" w:eastAsia="楷体_GB2312" w:cs="楷体_GB2312"/>
          <w:b/>
          <w:bCs/>
          <w:color w:val="auto"/>
          <w:sz w:val="32"/>
          <w:szCs w:val="32"/>
        </w:rPr>
        <w:t>涉台港澳研究项目</w:t>
      </w:r>
      <w:r>
        <w:rPr>
          <w:rFonts w:hint="eastAsia" w:ascii="楷体_GB2312" w:hAnsi="楷体_GB2312" w:eastAsia="楷体_GB2312" w:cs="楷体_GB2312"/>
          <w:b/>
          <w:bCs/>
          <w:color w:val="auto"/>
          <w:sz w:val="32"/>
          <w:szCs w:val="32"/>
          <w:lang w:val="en-US" w:eastAsia="zh-CN"/>
        </w:rPr>
        <w:t>5项。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1.现代农业强省建设研究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2.先进制造业强省建设研究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3.海洋强省建设研究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4.文化强省建设研究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5.健康强省建设研究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一般项目选题：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1.山东融入构建双循环发展格局研究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2.山东新旧动能转换五年突破路径研究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3.山东提升“十强”现代优势产业集群核心竞争力研究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4.山东国有企业改革研究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5.新时代山东区域一体化创新发展研究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6.充分发挥山东半岛城市群在黄河流域生态保护和高质量发展中的龙头作用研究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7.黄河现代产业合作示范带建设研究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8.山东加强社会治理研究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9.以人为核心的新型城镇化建设研究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10.山东脱贫攻坚经验研究</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sz w:val="32"/>
          <w:szCs w:val="32"/>
          <w:lang w:val="en-US" w:eastAsia="zh-CN"/>
        </w:rPr>
      </w:pPr>
      <w:r>
        <w:rPr>
          <w:rFonts w:hint="eastAsia"/>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color w:val="auto"/>
          <w:sz w:val="32"/>
          <w:szCs w:val="32"/>
          <w:lang w:val="en-US" w:eastAsia="zh-CN"/>
        </w:rPr>
      </w:pPr>
      <w:r>
        <w:rPr>
          <w:rFonts w:hint="eastAsia" w:ascii="楷体_GB2312" w:hAnsi="楷体_GB2312" w:eastAsia="楷体_GB2312" w:cs="楷体_GB2312"/>
          <w:b/>
          <w:bCs/>
          <w:color w:val="auto"/>
          <w:sz w:val="32"/>
          <w:szCs w:val="32"/>
          <w:lang w:val="en-US" w:eastAsia="zh-CN"/>
        </w:rPr>
        <w:t>涉台港澳研究项目选题：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1.台湾产业转移与山东产业对接研究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2.台湾现代农业发展对打造乡村振兴齐鲁样板的启示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3.台资经济助力山东打造对外开放新高地的思考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4.持续深化鲁台人文交流合作研究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5.新形势下鲁台港澳青少年群体深度交流融合研究</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五、高校思想政治教育研究专项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right="0"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shd w:val="clear" w:color="auto" w:fill="FFFFFF"/>
        </w:rPr>
        <w:t>该专项主要面向全省高校从事思想政治工作</w:t>
      </w:r>
      <w:r>
        <w:rPr>
          <w:rFonts w:hint="eastAsia" w:ascii="楷体_GB2312" w:hAnsi="楷体_GB2312" w:eastAsia="楷体_GB2312" w:cs="楷体_GB2312"/>
          <w:b/>
          <w:bCs/>
          <w:color w:val="auto"/>
          <w:sz w:val="32"/>
          <w:szCs w:val="32"/>
        </w:rPr>
        <w:t>的一线教师及相关研究人员</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申报者根据有关选题要求，结合高校思想政治工作实际，自行设计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FF0000"/>
          <w:sz w:val="32"/>
          <w:szCs w:val="32"/>
          <w:lang w:eastAsia="zh-CN"/>
        </w:rPr>
        <w:t>完成时限为</w:t>
      </w:r>
      <w:r>
        <w:rPr>
          <w:rFonts w:hint="eastAsia" w:ascii="楷体_GB2312" w:hAnsi="楷体_GB2312" w:eastAsia="楷体_GB2312" w:cs="楷体_GB2312"/>
          <w:b/>
          <w:bCs/>
          <w:color w:val="FF0000"/>
          <w:sz w:val="32"/>
          <w:szCs w:val="32"/>
          <w:lang w:val="en-US" w:eastAsia="zh-CN"/>
        </w:rPr>
        <w:t>1-2年。</w:t>
      </w:r>
      <w:r>
        <w:rPr>
          <w:rFonts w:hint="eastAsia" w:ascii="楷体_GB2312" w:hAnsi="楷体_GB2312" w:eastAsia="楷体_GB2312" w:cs="楷体_GB2312"/>
          <w:b/>
          <w:bCs/>
          <w:color w:val="auto"/>
          <w:sz w:val="32"/>
          <w:szCs w:val="32"/>
          <w:highlight w:val="none"/>
          <w:lang w:val="en-US" w:eastAsia="zh-CN"/>
        </w:rPr>
        <w:t>计划立项70项。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1.建党百年思政课建设的历史经验与发展规律研究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2.新发展阶段思政课教育教学规律、学生认知规律和接受特点研究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3.新时代高校思政课教学质量评价体系研究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4.新技术新趋势背景下高校网络意识形态安全体系建构研究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5.社会主义核心价值观引领知识教育长效机制研究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6.高校深入开展“四史”学习教育研究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7.新时代高校大学生群体分类及主要特点研究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8.新时代大学生爱国主义教育机制创新研究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9.高校辅导员提升政治引领力路径研究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10.大学生网络素养内容、载体及培育机制研究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11.高校学生心理健康教育体系建设创新研究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12.高校大学生美育意识培育研究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13.大学生国家安全意识培养研究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14.少年儿童政治启蒙和价值观塑造研究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15.新时代增强少先队员光荣感研究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16.新时代少先队辅导员队伍建设研究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17.少先队社会化工作体系建设研究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18.充分用好红色资源开展少先队工作研究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19.新时代青少年国防教育研究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六、数字山东研究专项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right="0"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为落实国家大数据战略，推进全省经济社会数字化转型，对数字政府、数字经济、数字社会、新型智慧城市建设等进行前瞻性研究，设立该专项。申报者</w:t>
      </w:r>
      <w:r>
        <w:rPr>
          <w:rFonts w:hint="eastAsia" w:ascii="楷体_GB2312" w:hAnsi="楷体_GB2312" w:eastAsia="楷体_GB2312" w:cs="楷体_GB2312"/>
          <w:b/>
          <w:bCs/>
          <w:color w:val="auto"/>
          <w:sz w:val="32"/>
          <w:szCs w:val="32"/>
          <w:lang w:eastAsia="zh-CN"/>
        </w:rPr>
        <w:t>应</w:t>
      </w:r>
      <w:r>
        <w:rPr>
          <w:rFonts w:hint="eastAsia" w:ascii="楷体_GB2312" w:hAnsi="楷体_GB2312" w:eastAsia="楷体_GB2312" w:cs="楷体_GB2312"/>
          <w:b/>
          <w:bCs/>
          <w:color w:val="auto"/>
          <w:sz w:val="32"/>
          <w:szCs w:val="32"/>
        </w:rPr>
        <w:t>紧扣选题研究方向，结合我省经济社会发展实际，自行设计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FF0000"/>
          <w:sz w:val="32"/>
          <w:szCs w:val="32"/>
          <w:lang w:eastAsia="zh-CN"/>
        </w:rPr>
        <w:t>完成时限为</w:t>
      </w:r>
      <w:r>
        <w:rPr>
          <w:rFonts w:hint="eastAsia" w:ascii="楷体_GB2312" w:hAnsi="楷体_GB2312" w:eastAsia="楷体_GB2312" w:cs="楷体_GB2312"/>
          <w:b/>
          <w:bCs/>
          <w:color w:val="FF0000"/>
          <w:sz w:val="32"/>
          <w:szCs w:val="32"/>
          <w:lang w:val="en-US" w:eastAsia="zh-CN"/>
        </w:rPr>
        <w:t>1年。</w:t>
      </w:r>
      <w:r>
        <w:rPr>
          <w:rFonts w:hint="eastAsia" w:ascii="楷体_GB2312" w:hAnsi="楷体_GB2312" w:eastAsia="楷体_GB2312" w:cs="楷体_GB2312"/>
          <w:b/>
          <w:bCs/>
          <w:color w:val="auto"/>
          <w:sz w:val="32"/>
          <w:szCs w:val="32"/>
          <w:lang w:val="en-US" w:eastAsia="zh-CN"/>
        </w:rPr>
        <w:t>计划立项4</w:t>
      </w:r>
      <w:r>
        <w:rPr>
          <w:rFonts w:hint="eastAsia" w:ascii="楷体_GB2312" w:hAnsi="楷体_GB2312" w:eastAsia="楷体_GB2312" w:cs="楷体_GB2312"/>
          <w:b/>
          <w:bCs/>
          <w:color w:val="auto"/>
          <w:sz w:val="32"/>
          <w:szCs w:val="32"/>
          <w:highlight w:val="none"/>
          <w:lang w:val="en-US" w:eastAsia="zh-CN"/>
        </w:rPr>
        <w:t>0-70</w:t>
      </w:r>
      <w:r>
        <w:rPr>
          <w:rFonts w:hint="eastAsia" w:ascii="楷体_GB2312" w:hAnsi="楷体_GB2312" w:eastAsia="楷体_GB2312" w:cs="楷体_GB2312"/>
          <w:b/>
          <w:bCs/>
          <w:color w:val="auto"/>
          <w:sz w:val="32"/>
          <w:szCs w:val="32"/>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1.习近平总书记关于网络强国的重要论述与山东实践研究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2.山东数字强省建设研究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3.“十四五”期间山东数字化改革创新理论研究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4.山东省数字法治体系建设研究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5.山东省“掌上政务”建设研究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6.数字经济赋能山东“双循环”发展新格局研究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7.山东数据要素市场化研究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8.山东新型智慧城市建设研究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9.山东省数字基础设施建设研究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10.山东乡村振兴数字化建设研究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11.山东省一体化政务服务体系优化路径研究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12.打造山东大数据安全体系研究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13.打造山东大数据治理体系研究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14.打造山东大数据标准体系研究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15.山东大数据人才培育和招引机制研究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16.大数据普及应用研究</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七、弘扬中华优秀传统文化研究专项</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该专项主要围绕我省优秀传统文化的研究阐发，提炼展示我省优秀传统文化的精神标识，特别是其中具有当代价值、世界意义的文化精髓，推动中华优秀传统文化创造性转化、创新性发展。同时，着眼于用中华优秀传统文化涵养干部为政之德，设立此专项。</w:t>
      </w:r>
    </w:p>
    <w:p>
      <w:pPr>
        <w:keepNext w:val="0"/>
        <w:keepLines w:val="0"/>
        <w:pageBreakBefore w:val="0"/>
        <w:widowControl w:val="0"/>
        <w:kinsoku/>
        <w:wordWrap/>
        <w:overflowPunct/>
        <w:topLinePunct w:val="0"/>
        <w:autoSpaceDE w:val="0"/>
        <w:autoSpaceDN w:val="0"/>
        <w:bidi w:val="0"/>
        <w:adjustRightInd w:val="0"/>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该专项由两部分组成，即“传统文化研究专题”和“干部政德教育研究专题”。申报者应紧扣选题研究方向，结合我省实际，自行设计具体题目。成果形式为研究报告的，申请</w:t>
      </w:r>
      <w:r>
        <w:rPr>
          <w:rFonts w:hint="eastAsia" w:ascii="楷体_GB2312" w:hAnsi="楷体_GB2312" w:eastAsia="楷体_GB2312" w:cs="楷体_GB2312"/>
          <w:b/>
          <w:bCs/>
          <w:color w:val="auto"/>
          <w:sz w:val="32"/>
          <w:szCs w:val="32"/>
          <w:highlight w:val="none"/>
          <w:lang w:val="en-US" w:eastAsia="zh-CN"/>
        </w:rPr>
        <w:t>结项时需附送立项后在有国家正式刊号的期刊上发表的、与项目研究相关的阶段性成果1篇。</w:t>
      </w:r>
      <w:r>
        <w:rPr>
          <w:rFonts w:hint="eastAsia" w:ascii="楷体_GB2312" w:hAnsi="楷体_GB2312" w:eastAsia="楷体_GB2312" w:cs="楷体_GB2312"/>
          <w:b/>
          <w:bCs/>
          <w:color w:val="FF0000"/>
          <w:sz w:val="32"/>
          <w:szCs w:val="32"/>
          <w:lang w:val="en-US" w:eastAsia="zh-CN"/>
        </w:rPr>
        <w:t>完成时限为1年。</w:t>
      </w:r>
      <w:r>
        <w:rPr>
          <w:rFonts w:hint="eastAsia" w:ascii="楷体_GB2312" w:hAnsi="楷体_GB2312" w:eastAsia="楷体_GB2312" w:cs="楷体_GB2312"/>
          <w:b/>
          <w:bCs/>
          <w:color w:val="auto"/>
          <w:sz w:val="32"/>
          <w:szCs w:val="32"/>
          <w:lang w:val="en-US" w:eastAsia="zh-CN"/>
        </w:rPr>
        <w:t>传统文化研究专题计划立项18项，</w:t>
      </w:r>
      <w:r>
        <w:rPr>
          <w:rFonts w:hint="eastAsia" w:ascii="楷体_GB2312" w:hAnsi="楷体_GB2312" w:eastAsia="楷体_GB2312" w:cs="楷体_GB2312"/>
          <w:b/>
          <w:bCs w:val="0"/>
          <w:color w:val="auto"/>
          <w:sz w:val="32"/>
          <w:szCs w:val="32"/>
          <w:lang w:val="en-US" w:eastAsia="zh-CN"/>
        </w:rPr>
        <w:t>申报材料中的项目类别为</w:t>
      </w:r>
      <w:r>
        <w:rPr>
          <w:rFonts w:hint="eastAsia" w:ascii="楷体_GB2312" w:hAnsi="楷体_GB2312" w:eastAsia="楷体_GB2312" w:cs="楷体_GB2312"/>
          <w:b/>
          <w:bCs/>
          <w:color w:val="auto"/>
          <w:sz w:val="32"/>
          <w:szCs w:val="32"/>
          <w:lang w:val="en-US" w:eastAsia="zh-CN"/>
        </w:rPr>
        <w:t>“传统文化研究专题”。干部政德研究专题计划立项</w:t>
      </w:r>
      <w:r>
        <w:rPr>
          <w:rFonts w:hint="eastAsia" w:ascii="楷体_GB2312" w:hAnsi="楷体_GB2312" w:eastAsia="楷体_GB2312" w:cs="楷体_GB2312"/>
          <w:b/>
          <w:bCs/>
          <w:color w:val="auto"/>
          <w:sz w:val="32"/>
          <w:szCs w:val="32"/>
          <w:highlight w:val="none"/>
          <w:lang w:val="en-US" w:eastAsia="zh-CN"/>
        </w:rPr>
        <w:t>12</w:t>
      </w:r>
      <w:r>
        <w:rPr>
          <w:rFonts w:hint="eastAsia" w:ascii="楷体_GB2312" w:hAnsi="楷体_GB2312" w:eastAsia="楷体_GB2312" w:cs="楷体_GB2312"/>
          <w:b/>
          <w:bCs/>
          <w:color w:val="auto"/>
          <w:sz w:val="32"/>
          <w:szCs w:val="32"/>
          <w:lang w:val="en-US" w:eastAsia="zh-CN"/>
        </w:rPr>
        <w:t>项，</w:t>
      </w:r>
      <w:r>
        <w:rPr>
          <w:rFonts w:hint="eastAsia" w:ascii="楷体_GB2312" w:hAnsi="楷体_GB2312" w:eastAsia="楷体_GB2312" w:cs="楷体_GB2312"/>
          <w:b/>
          <w:bCs w:val="0"/>
          <w:color w:val="auto"/>
          <w:sz w:val="32"/>
          <w:szCs w:val="32"/>
          <w:lang w:val="en-US" w:eastAsia="zh-CN"/>
        </w:rPr>
        <w:t>申报材料中的项目类别为</w:t>
      </w:r>
      <w:r>
        <w:rPr>
          <w:rFonts w:hint="eastAsia" w:ascii="楷体_GB2312" w:hAnsi="楷体_GB2312" w:eastAsia="楷体_GB2312" w:cs="楷体_GB2312"/>
          <w:b/>
          <w:bCs/>
          <w:color w:val="auto"/>
          <w:sz w:val="32"/>
          <w:szCs w:val="32"/>
          <w:lang w:val="en-US" w:eastAsia="zh-CN"/>
        </w:rPr>
        <w:t>“干部政德教育研究专题”。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传统文化研究专题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1.坚持马克思主义与弘扬中华优秀传统文化结合研究</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中国共产党成立百年与</w:t>
      </w:r>
      <w:r>
        <w:rPr>
          <w:rFonts w:hint="eastAsia" w:ascii="仿宋_GB2312" w:hAnsi="仿宋_GB2312" w:eastAsia="仿宋_GB2312" w:cs="仿宋_GB2312"/>
          <w:b/>
          <w:bCs/>
          <w:color w:val="auto"/>
          <w:sz w:val="32"/>
          <w:szCs w:val="32"/>
          <w:lang w:eastAsia="zh-CN"/>
        </w:rPr>
        <w:t>弘扬</w:t>
      </w:r>
      <w:r>
        <w:rPr>
          <w:rFonts w:hint="eastAsia" w:ascii="仿宋_GB2312" w:hAnsi="仿宋_GB2312" w:eastAsia="仿宋_GB2312" w:cs="仿宋_GB2312"/>
          <w:b/>
          <w:bCs/>
          <w:color w:val="auto"/>
          <w:sz w:val="32"/>
          <w:szCs w:val="32"/>
        </w:rPr>
        <w:t>中华优秀传统文化研究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3.中华优秀传统文化创造性转化、创新性发展的山东实践研究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4.齐鲁优秀传统农耕文化研究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5.传统文化的网络传播研究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6.齐文化的内涵与当代价值研究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7.山东中医药文化内涵与特质研究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8.黄河文化研究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9.泰山文化研究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10.运河文化研究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11.齐长城文化研究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12.山东海疆文化研究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13.墨子文化研究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14.孙子文化研究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干部政德教育研究专题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1.中华优秀传统文化中的政德思想研究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2.新时代习近平政德观研究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3.中华优秀传统文化融入干部政德教育研究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4.新时代领导干部文化自信培育研究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5.仁政民本思想在基层社会治理中的价值研究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6.和为贵理念在基层社会治理中的运用研究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7.传统乡规民约在基层社会治理中的作用研究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8.红色文化中的传统文化基因研究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9.中华优秀家风家训与领导干部家风建设研究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八、文化旅游研究专项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助力文化和旅游产业融合发展、推动文化旅游强省建设</w:t>
      </w:r>
      <w:r>
        <w:rPr>
          <w:rFonts w:hint="eastAsia" w:ascii="楷体_GB2312" w:hAnsi="楷体_GB2312" w:eastAsia="楷体_GB2312" w:cs="楷体_GB2312"/>
          <w:b/>
          <w:bCs/>
          <w:color w:val="auto"/>
          <w:sz w:val="32"/>
          <w:szCs w:val="32"/>
          <w:lang w:eastAsia="zh-CN"/>
        </w:rPr>
        <w:t>，设立该专项。</w:t>
      </w:r>
      <w:r>
        <w:rPr>
          <w:rFonts w:hint="eastAsia" w:ascii="楷体_GB2312" w:hAnsi="楷体_GB2312" w:eastAsia="楷体_GB2312" w:cs="楷体_GB2312"/>
          <w:b/>
          <w:bCs/>
          <w:color w:val="auto"/>
          <w:sz w:val="32"/>
          <w:szCs w:val="32"/>
        </w:rPr>
        <w:t>申报者</w:t>
      </w:r>
      <w:r>
        <w:rPr>
          <w:rFonts w:hint="eastAsia" w:ascii="楷体_GB2312" w:hAnsi="楷体_GB2312" w:eastAsia="楷体_GB2312" w:cs="楷体_GB2312"/>
          <w:b/>
          <w:bCs/>
          <w:color w:val="auto"/>
          <w:sz w:val="32"/>
          <w:szCs w:val="32"/>
          <w:lang w:eastAsia="zh-CN"/>
        </w:rPr>
        <w:t>应</w:t>
      </w:r>
      <w:r>
        <w:rPr>
          <w:rFonts w:hint="eastAsia" w:ascii="楷体_GB2312" w:hAnsi="楷体_GB2312" w:eastAsia="楷体_GB2312" w:cs="楷体_GB2312"/>
          <w:b/>
          <w:bCs/>
          <w:color w:val="auto"/>
          <w:sz w:val="32"/>
          <w:szCs w:val="32"/>
        </w:rPr>
        <w:t>紧扣选题研究方向，结合我省</w:t>
      </w:r>
      <w:r>
        <w:rPr>
          <w:rFonts w:hint="eastAsia" w:ascii="楷体_GB2312" w:hAnsi="楷体_GB2312" w:eastAsia="楷体_GB2312" w:cs="楷体_GB2312"/>
          <w:b/>
          <w:bCs/>
          <w:color w:val="auto"/>
          <w:sz w:val="32"/>
          <w:szCs w:val="32"/>
          <w:lang w:val="en-US" w:eastAsia="zh-CN"/>
        </w:rPr>
        <w:t>文化和旅游</w:t>
      </w:r>
      <w:r>
        <w:rPr>
          <w:rFonts w:hint="eastAsia" w:ascii="楷体_GB2312" w:hAnsi="楷体_GB2312" w:eastAsia="楷体_GB2312" w:cs="楷体_GB2312"/>
          <w:b/>
          <w:bCs/>
          <w:color w:val="auto"/>
          <w:sz w:val="32"/>
          <w:szCs w:val="32"/>
        </w:rPr>
        <w:t>发展实际，自行设计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FF0000"/>
          <w:sz w:val="32"/>
          <w:szCs w:val="32"/>
          <w:lang w:eastAsia="zh-CN"/>
        </w:rPr>
        <w:t>完成时限</w:t>
      </w:r>
      <w:r>
        <w:rPr>
          <w:rFonts w:hint="eastAsia" w:ascii="楷体_GB2312" w:hAnsi="楷体_GB2312" w:eastAsia="楷体_GB2312" w:cs="楷体_GB2312"/>
          <w:b/>
          <w:bCs/>
          <w:color w:val="FF0000"/>
          <w:sz w:val="32"/>
          <w:szCs w:val="32"/>
          <w:lang w:val="en-US" w:eastAsia="zh-CN"/>
        </w:rPr>
        <w:t>1年</w:t>
      </w:r>
      <w:r>
        <w:rPr>
          <w:rFonts w:hint="eastAsia" w:ascii="楷体_GB2312" w:hAnsi="楷体_GB2312" w:eastAsia="楷体_GB2312" w:cs="楷体_GB2312"/>
          <w:b/>
          <w:bCs/>
          <w:color w:val="FF0000"/>
          <w:sz w:val="32"/>
          <w:szCs w:val="32"/>
          <w:highlight w:val="none"/>
          <w:lang w:val="en-US" w:eastAsia="zh-CN"/>
        </w:rPr>
        <w:t>。</w:t>
      </w:r>
      <w:r>
        <w:rPr>
          <w:rFonts w:hint="eastAsia" w:ascii="楷体_GB2312" w:hAnsi="楷体_GB2312" w:eastAsia="楷体_GB2312" w:cs="楷体_GB2312"/>
          <w:b/>
          <w:bCs/>
          <w:color w:val="auto"/>
          <w:sz w:val="32"/>
          <w:szCs w:val="32"/>
          <w:highlight w:val="none"/>
          <w:lang w:val="en-US" w:eastAsia="zh-CN"/>
        </w:rPr>
        <w:t>计划立项60项。</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1.山东红色文化保护传承研究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2.山东重点文物保护发展研究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3.齐长城国家文化公园建设研究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4.工业、康养、体育、研学等文旅融合新业态研究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5.山东全域旅游创新发展路径研究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6.山东文化和旅游数字化建设研究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7.山东文化遗产保护传承与乡村旅游发展研究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8.山东文化和旅游公共服务体系高质量发展研究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9.山东文化演艺与旅游高质量发展研究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10.提升我省文化创意和精品旅游研究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11.加强山东文化和旅游市场管理研究</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九、山东人才研究专项</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eastAsia" w:ascii="黑体" w:hAnsi="黑体" w:eastAsia="黑体" w:cs="黑体"/>
          <w:b/>
          <w:bCs/>
          <w:sz w:val="32"/>
          <w:szCs w:val="32"/>
          <w:lang w:val="en-US" w:eastAsia="zh-CN"/>
        </w:rPr>
      </w:pPr>
      <w:r>
        <w:rPr>
          <w:rFonts w:hint="eastAsia" w:ascii="楷体_GB2312" w:hAnsi="楷体_GB2312" w:eastAsia="楷体_GB2312" w:cs="楷体_GB2312"/>
          <w:b/>
          <w:bCs/>
          <w:color w:val="auto"/>
          <w:sz w:val="32"/>
          <w:szCs w:val="32"/>
          <w:lang w:val="en-US" w:eastAsia="zh-CN"/>
        </w:rPr>
        <w:t>该专项为贯彻落实“人才兴鲁”战略，聚焦聚力打造人才高地设立“山东人才发展研究专题”。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山东人才发展研究专题应紧紧围绕山东省经济社会发展对人才的实际需要，在深入广泛调研的基础上，按照原题开展前瞻性研究。所列条目为课题名称，请选择其一进行申报。计划每个题目立1项，共</w:t>
      </w:r>
      <w:r>
        <w:rPr>
          <w:rFonts w:hint="eastAsia" w:ascii="楷体_GB2312" w:hAnsi="楷体_GB2312" w:eastAsia="楷体_GB2312" w:cs="楷体_GB2312"/>
          <w:b/>
          <w:bCs w:val="0"/>
          <w:sz w:val="32"/>
          <w:szCs w:val="32"/>
          <w:lang w:val="en-US" w:eastAsia="zh-CN"/>
        </w:rPr>
        <w:t>立项15项</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val="0"/>
          <w:sz w:val="32"/>
          <w:szCs w:val="32"/>
          <w:lang w:val="en-US" w:eastAsia="zh-CN"/>
        </w:rPr>
        <w:t>申报材料中的项目类别为“山东人才发展研究专题”。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山东人才发展研究专题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1.省“十四五”人才发展规划编制研究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2.突出能力水平和业绩贡献导向的高层次人才测评体系研究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3.基于政策和服务的人才发展环境评估</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4.山东省省级人才工程遴选与验收评估体系研究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5.山东省人才工作目标责任制考核体系研究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6.深化山东省高校科研单位人才分类评价与激励对策研究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7.提升山东省人才发展市场化水平思路与对策研究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8.山东省技术经纪人培育路径研究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9.山东省人才飞地建设路径研究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10.“人才山东”品牌打造路径研究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11.提升山东省企业人才意识对策研究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12.山东省高校毕业生就业现状与职业发展研究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13.山东省16市人才竞争力现状分析与提升建议</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14.“十强”产业人才发展现状与未来需求分析</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15.山东省乡村人才振兴的现状与政策研究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360" w:firstLineChars="200"/>
        <w:textAlignment w:val="auto"/>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6275"/>
    <w:rsid w:val="00AB2353"/>
    <w:rsid w:val="00B244B4"/>
    <w:rsid w:val="00F14FE0"/>
    <w:rsid w:val="01114B59"/>
    <w:rsid w:val="015F5E25"/>
    <w:rsid w:val="01707198"/>
    <w:rsid w:val="01834D4B"/>
    <w:rsid w:val="01A93849"/>
    <w:rsid w:val="01EA3265"/>
    <w:rsid w:val="022351F3"/>
    <w:rsid w:val="02B011DA"/>
    <w:rsid w:val="02C469C1"/>
    <w:rsid w:val="02FA40AB"/>
    <w:rsid w:val="03044C94"/>
    <w:rsid w:val="031B4A60"/>
    <w:rsid w:val="036E78A0"/>
    <w:rsid w:val="03800506"/>
    <w:rsid w:val="03970114"/>
    <w:rsid w:val="03A2151C"/>
    <w:rsid w:val="03DA555B"/>
    <w:rsid w:val="03FD30A7"/>
    <w:rsid w:val="04047935"/>
    <w:rsid w:val="041C6065"/>
    <w:rsid w:val="04544243"/>
    <w:rsid w:val="04A95AA1"/>
    <w:rsid w:val="04CA4825"/>
    <w:rsid w:val="04E70A5B"/>
    <w:rsid w:val="051402B5"/>
    <w:rsid w:val="051E29E1"/>
    <w:rsid w:val="052E2437"/>
    <w:rsid w:val="054329E6"/>
    <w:rsid w:val="05870F0F"/>
    <w:rsid w:val="06663CB1"/>
    <w:rsid w:val="06800B2D"/>
    <w:rsid w:val="070A7AE4"/>
    <w:rsid w:val="0757253F"/>
    <w:rsid w:val="07B115CE"/>
    <w:rsid w:val="07B1235C"/>
    <w:rsid w:val="07BF7F3B"/>
    <w:rsid w:val="08196140"/>
    <w:rsid w:val="08442D54"/>
    <w:rsid w:val="08C950CB"/>
    <w:rsid w:val="08C9759E"/>
    <w:rsid w:val="09022D4C"/>
    <w:rsid w:val="09242A6D"/>
    <w:rsid w:val="093D091A"/>
    <w:rsid w:val="093D5D11"/>
    <w:rsid w:val="096503DA"/>
    <w:rsid w:val="09945089"/>
    <w:rsid w:val="09CE4628"/>
    <w:rsid w:val="09DA0AEA"/>
    <w:rsid w:val="09E66FF6"/>
    <w:rsid w:val="0A1A68E8"/>
    <w:rsid w:val="0A49684F"/>
    <w:rsid w:val="0A52533E"/>
    <w:rsid w:val="0AF87C7F"/>
    <w:rsid w:val="0B010302"/>
    <w:rsid w:val="0B311C8A"/>
    <w:rsid w:val="0B730FE2"/>
    <w:rsid w:val="0BAE0BA4"/>
    <w:rsid w:val="0C0C49B8"/>
    <w:rsid w:val="0C3F35A7"/>
    <w:rsid w:val="0C587ED4"/>
    <w:rsid w:val="0C6B2784"/>
    <w:rsid w:val="0CAF7F11"/>
    <w:rsid w:val="0CFA7255"/>
    <w:rsid w:val="0CFE763E"/>
    <w:rsid w:val="0D173D2A"/>
    <w:rsid w:val="0DA953A3"/>
    <w:rsid w:val="0E016F27"/>
    <w:rsid w:val="0E35380A"/>
    <w:rsid w:val="0E472075"/>
    <w:rsid w:val="0E542926"/>
    <w:rsid w:val="0E8411AE"/>
    <w:rsid w:val="0E94271F"/>
    <w:rsid w:val="0E975E7F"/>
    <w:rsid w:val="0ED03F86"/>
    <w:rsid w:val="0F4D2C40"/>
    <w:rsid w:val="0F6A454B"/>
    <w:rsid w:val="0F830E04"/>
    <w:rsid w:val="0F9F1B85"/>
    <w:rsid w:val="0FDA4382"/>
    <w:rsid w:val="0FE852C2"/>
    <w:rsid w:val="10A71C51"/>
    <w:rsid w:val="112435DD"/>
    <w:rsid w:val="113003E6"/>
    <w:rsid w:val="1153036B"/>
    <w:rsid w:val="117B5305"/>
    <w:rsid w:val="11E243D1"/>
    <w:rsid w:val="11FC69F3"/>
    <w:rsid w:val="12095649"/>
    <w:rsid w:val="12870446"/>
    <w:rsid w:val="12D05C34"/>
    <w:rsid w:val="13247A98"/>
    <w:rsid w:val="133C6ADE"/>
    <w:rsid w:val="137D7320"/>
    <w:rsid w:val="13BD1997"/>
    <w:rsid w:val="13E66E34"/>
    <w:rsid w:val="13E828A1"/>
    <w:rsid w:val="14251580"/>
    <w:rsid w:val="14305FCB"/>
    <w:rsid w:val="144066A3"/>
    <w:rsid w:val="14820E77"/>
    <w:rsid w:val="14844D0E"/>
    <w:rsid w:val="14F91847"/>
    <w:rsid w:val="153B44C2"/>
    <w:rsid w:val="153E2182"/>
    <w:rsid w:val="15575DDB"/>
    <w:rsid w:val="159064B1"/>
    <w:rsid w:val="15940342"/>
    <w:rsid w:val="15944592"/>
    <w:rsid w:val="162A27FA"/>
    <w:rsid w:val="163D5037"/>
    <w:rsid w:val="16627715"/>
    <w:rsid w:val="17424DBA"/>
    <w:rsid w:val="17D42347"/>
    <w:rsid w:val="17D65432"/>
    <w:rsid w:val="17DA28CD"/>
    <w:rsid w:val="181027C6"/>
    <w:rsid w:val="18660684"/>
    <w:rsid w:val="18761EA7"/>
    <w:rsid w:val="18BE06CA"/>
    <w:rsid w:val="199065BA"/>
    <w:rsid w:val="19CA3ABC"/>
    <w:rsid w:val="1AE4594A"/>
    <w:rsid w:val="1B554BBA"/>
    <w:rsid w:val="1B5570A1"/>
    <w:rsid w:val="1B6A74E1"/>
    <w:rsid w:val="1B756950"/>
    <w:rsid w:val="1B771AA0"/>
    <w:rsid w:val="1BAB4925"/>
    <w:rsid w:val="1BB547BB"/>
    <w:rsid w:val="1BCE6F03"/>
    <w:rsid w:val="1BDD07B7"/>
    <w:rsid w:val="1C2465B1"/>
    <w:rsid w:val="1C426F90"/>
    <w:rsid w:val="1C427F64"/>
    <w:rsid w:val="1CE3176F"/>
    <w:rsid w:val="1DB1326B"/>
    <w:rsid w:val="1DC34D5F"/>
    <w:rsid w:val="1DF62329"/>
    <w:rsid w:val="1E062B64"/>
    <w:rsid w:val="1E355B24"/>
    <w:rsid w:val="1E380C95"/>
    <w:rsid w:val="1E833A5B"/>
    <w:rsid w:val="1EED5C5E"/>
    <w:rsid w:val="1FE34D27"/>
    <w:rsid w:val="20697F0D"/>
    <w:rsid w:val="20C22BF8"/>
    <w:rsid w:val="21B00645"/>
    <w:rsid w:val="226010E6"/>
    <w:rsid w:val="230C165B"/>
    <w:rsid w:val="231207A1"/>
    <w:rsid w:val="231353AB"/>
    <w:rsid w:val="231A115B"/>
    <w:rsid w:val="2349437F"/>
    <w:rsid w:val="23D74278"/>
    <w:rsid w:val="23FA0B05"/>
    <w:rsid w:val="24470D45"/>
    <w:rsid w:val="245A2F6F"/>
    <w:rsid w:val="246F2DE9"/>
    <w:rsid w:val="24DC01A6"/>
    <w:rsid w:val="24EE3A63"/>
    <w:rsid w:val="259E19E6"/>
    <w:rsid w:val="25BA22DF"/>
    <w:rsid w:val="2611326F"/>
    <w:rsid w:val="26A26F6A"/>
    <w:rsid w:val="26B10FD5"/>
    <w:rsid w:val="26EC6506"/>
    <w:rsid w:val="273214CB"/>
    <w:rsid w:val="276E6F5F"/>
    <w:rsid w:val="27976BC6"/>
    <w:rsid w:val="27D860B2"/>
    <w:rsid w:val="28015FA1"/>
    <w:rsid w:val="281818EA"/>
    <w:rsid w:val="288D57D4"/>
    <w:rsid w:val="28A4712B"/>
    <w:rsid w:val="28E7496F"/>
    <w:rsid w:val="29272939"/>
    <w:rsid w:val="292D2AE0"/>
    <w:rsid w:val="29527261"/>
    <w:rsid w:val="29F95491"/>
    <w:rsid w:val="2A4C713C"/>
    <w:rsid w:val="2A5637C1"/>
    <w:rsid w:val="2AB83AD0"/>
    <w:rsid w:val="2B1846F2"/>
    <w:rsid w:val="2B4D6CC6"/>
    <w:rsid w:val="2B780C39"/>
    <w:rsid w:val="2BC26688"/>
    <w:rsid w:val="2C6E34F0"/>
    <w:rsid w:val="2C81600C"/>
    <w:rsid w:val="2CB5470E"/>
    <w:rsid w:val="2DC53952"/>
    <w:rsid w:val="2DF9093B"/>
    <w:rsid w:val="2E3B1CAD"/>
    <w:rsid w:val="2E46012F"/>
    <w:rsid w:val="2EB1312F"/>
    <w:rsid w:val="2EC27906"/>
    <w:rsid w:val="2F642355"/>
    <w:rsid w:val="2F660608"/>
    <w:rsid w:val="2F7668DB"/>
    <w:rsid w:val="2F7C7880"/>
    <w:rsid w:val="30231544"/>
    <w:rsid w:val="30235AD9"/>
    <w:rsid w:val="305C0064"/>
    <w:rsid w:val="308733A3"/>
    <w:rsid w:val="309055A7"/>
    <w:rsid w:val="30F420D1"/>
    <w:rsid w:val="315F21F7"/>
    <w:rsid w:val="316261AE"/>
    <w:rsid w:val="319E1C07"/>
    <w:rsid w:val="31A0393F"/>
    <w:rsid w:val="31B006B0"/>
    <w:rsid w:val="31C65E3B"/>
    <w:rsid w:val="31E229D9"/>
    <w:rsid w:val="32762F1E"/>
    <w:rsid w:val="32B96701"/>
    <w:rsid w:val="32C8210A"/>
    <w:rsid w:val="32FE008A"/>
    <w:rsid w:val="32FF19E3"/>
    <w:rsid w:val="33423E91"/>
    <w:rsid w:val="33850CD2"/>
    <w:rsid w:val="33AF1AD9"/>
    <w:rsid w:val="340B1800"/>
    <w:rsid w:val="343806C3"/>
    <w:rsid w:val="345133DF"/>
    <w:rsid w:val="3475468B"/>
    <w:rsid w:val="349806DF"/>
    <w:rsid w:val="34B24141"/>
    <w:rsid w:val="34F77A95"/>
    <w:rsid w:val="352D07FE"/>
    <w:rsid w:val="35542D80"/>
    <w:rsid w:val="355D4C76"/>
    <w:rsid w:val="3575362D"/>
    <w:rsid w:val="35B373EF"/>
    <w:rsid w:val="35EE00C4"/>
    <w:rsid w:val="3600150B"/>
    <w:rsid w:val="36401059"/>
    <w:rsid w:val="364C5CA0"/>
    <w:rsid w:val="36812135"/>
    <w:rsid w:val="36D0357C"/>
    <w:rsid w:val="376B48E1"/>
    <w:rsid w:val="37894883"/>
    <w:rsid w:val="378D5769"/>
    <w:rsid w:val="37D44D71"/>
    <w:rsid w:val="37ED1994"/>
    <w:rsid w:val="38665A19"/>
    <w:rsid w:val="388B4B00"/>
    <w:rsid w:val="38E62F20"/>
    <w:rsid w:val="3986698B"/>
    <w:rsid w:val="398F7882"/>
    <w:rsid w:val="399901B0"/>
    <w:rsid w:val="39BD6789"/>
    <w:rsid w:val="39D009C6"/>
    <w:rsid w:val="39DB04A8"/>
    <w:rsid w:val="39E2392C"/>
    <w:rsid w:val="3A122C66"/>
    <w:rsid w:val="3A1337B2"/>
    <w:rsid w:val="3A323FD6"/>
    <w:rsid w:val="3A6D1CF8"/>
    <w:rsid w:val="3A846B6B"/>
    <w:rsid w:val="3B761828"/>
    <w:rsid w:val="3C0F6503"/>
    <w:rsid w:val="3C1F65A6"/>
    <w:rsid w:val="3C256AF9"/>
    <w:rsid w:val="3C76269D"/>
    <w:rsid w:val="3C972BB1"/>
    <w:rsid w:val="3CF171B4"/>
    <w:rsid w:val="3D166BFB"/>
    <w:rsid w:val="3D326F6B"/>
    <w:rsid w:val="3D4B6A67"/>
    <w:rsid w:val="3DA003A4"/>
    <w:rsid w:val="3E1866D9"/>
    <w:rsid w:val="3E8D1066"/>
    <w:rsid w:val="3EB57B66"/>
    <w:rsid w:val="3F982DC5"/>
    <w:rsid w:val="3FA02262"/>
    <w:rsid w:val="404E6291"/>
    <w:rsid w:val="40550443"/>
    <w:rsid w:val="40AF6F93"/>
    <w:rsid w:val="40DB2101"/>
    <w:rsid w:val="414E194D"/>
    <w:rsid w:val="416A0A67"/>
    <w:rsid w:val="416A688E"/>
    <w:rsid w:val="420C24EC"/>
    <w:rsid w:val="428C1BEE"/>
    <w:rsid w:val="42BC56A4"/>
    <w:rsid w:val="437B5796"/>
    <w:rsid w:val="43AD771C"/>
    <w:rsid w:val="43E73EDC"/>
    <w:rsid w:val="43F04482"/>
    <w:rsid w:val="443C6348"/>
    <w:rsid w:val="44834762"/>
    <w:rsid w:val="44EE1847"/>
    <w:rsid w:val="44FE03BB"/>
    <w:rsid w:val="454605CD"/>
    <w:rsid w:val="45B53DEF"/>
    <w:rsid w:val="45C260D6"/>
    <w:rsid w:val="46046289"/>
    <w:rsid w:val="46627812"/>
    <w:rsid w:val="467C3D68"/>
    <w:rsid w:val="468D2DA1"/>
    <w:rsid w:val="46902DA7"/>
    <w:rsid w:val="469410F0"/>
    <w:rsid w:val="4731683B"/>
    <w:rsid w:val="474246F0"/>
    <w:rsid w:val="47926077"/>
    <w:rsid w:val="47D13F0B"/>
    <w:rsid w:val="480F7A93"/>
    <w:rsid w:val="4832028F"/>
    <w:rsid w:val="483E46B9"/>
    <w:rsid w:val="48521B1B"/>
    <w:rsid w:val="486626EF"/>
    <w:rsid w:val="488A3293"/>
    <w:rsid w:val="488C5A32"/>
    <w:rsid w:val="489B498A"/>
    <w:rsid w:val="48A91307"/>
    <w:rsid w:val="48AC260C"/>
    <w:rsid w:val="498A2E38"/>
    <w:rsid w:val="49A146AD"/>
    <w:rsid w:val="49E4000D"/>
    <w:rsid w:val="4A847A2A"/>
    <w:rsid w:val="4AB94C62"/>
    <w:rsid w:val="4AC01BAB"/>
    <w:rsid w:val="4B416BE3"/>
    <w:rsid w:val="4B507F61"/>
    <w:rsid w:val="4BA72171"/>
    <w:rsid w:val="4C666F27"/>
    <w:rsid w:val="4C6D195A"/>
    <w:rsid w:val="4CEA6622"/>
    <w:rsid w:val="4E1E7A6D"/>
    <w:rsid w:val="4E8A3CBA"/>
    <w:rsid w:val="4EE15A85"/>
    <w:rsid w:val="4F16531E"/>
    <w:rsid w:val="4F7D4E5B"/>
    <w:rsid w:val="4F864AB9"/>
    <w:rsid w:val="4FAA1CFB"/>
    <w:rsid w:val="4FD750A7"/>
    <w:rsid w:val="4FE411D6"/>
    <w:rsid w:val="502401E9"/>
    <w:rsid w:val="50915337"/>
    <w:rsid w:val="50BB09CC"/>
    <w:rsid w:val="516D22E6"/>
    <w:rsid w:val="517626DF"/>
    <w:rsid w:val="519C0B0F"/>
    <w:rsid w:val="528B3152"/>
    <w:rsid w:val="535C205A"/>
    <w:rsid w:val="546A0981"/>
    <w:rsid w:val="5472496D"/>
    <w:rsid w:val="54762773"/>
    <w:rsid w:val="55352419"/>
    <w:rsid w:val="554C6210"/>
    <w:rsid w:val="557F5BCC"/>
    <w:rsid w:val="56195C62"/>
    <w:rsid w:val="56584533"/>
    <w:rsid w:val="56CE470E"/>
    <w:rsid w:val="571332F1"/>
    <w:rsid w:val="577944E9"/>
    <w:rsid w:val="578A70B2"/>
    <w:rsid w:val="57AB5A7A"/>
    <w:rsid w:val="57D703B7"/>
    <w:rsid w:val="583A7D31"/>
    <w:rsid w:val="585F2281"/>
    <w:rsid w:val="58894D95"/>
    <w:rsid w:val="58977563"/>
    <w:rsid w:val="58B048B9"/>
    <w:rsid w:val="58B91E16"/>
    <w:rsid w:val="59256757"/>
    <w:rsid w:val="593375EA"/>
    <w:rsid w:val="59742667"/>
    <w:rsid w:val="597B16A7"/>
    <w:rsid w:val="59883324"/>
    <w:rsid w:val="5A7378E0"/>
    <w:rsid w:val="5A7C58D6"/>
    <w:rsid w:val="5A8309EF"/>
    <w:rsid w:val="5A944543"/>
    <w:rsid w:val="5A961524"/>
    <w:rsid w:val="5AD50881"/>
    <w:rsid w:val="5B1F3809"/>
    <w:rsid w:val="5B7A0735"/>
    <w:rsid w:val="5BC125EE"/>
    <w:rsid w:val="5C047E99"/>
    <w:rsid w:val="5C5932FA"/>
    <w:rsid w:val="5C5E239E"/>
    <w:rsid w:val="5C6F38B0"/>
    <w:rsid w:val="5C7348A9"/>
    <w:rsid w:val="5CE178E0"/>
    <w:rsid w:val="5D1037D6"/>
    <w:rsid w:val="5D346748"/>
    <w:rsid w:val="5D5119D0"/>
    <w:rsid w:val="5D670D19"/>
    <w:rsid w:val="5D8500C3"/>
    <w:rsid w:val="5DC54399"/>
    <w:rsid w:val="5DDD676C"/>
    <w:rsid w:val="5DF50356"/>
    <w:rsid w:val="5F025F2B"/>
    <w:rsid w:val="5F125787"/>
    <w:rsid w:val="5F1439AC"/>
    <w:rsid w:val="5F323CB1"/>
    <w:rsid w:val="5FCB6138"/>
    <w:rsid w:val="5FEE4EF0"/>
    <w:rsid w:val="5FF936BA"/>
    <w:rsid w:val="601839BF"/>
    <w:rsid w:val="603F30B2"/>
    <w:rsid w:val="604F0A08"/>
    <w:rsid w:val="60772EA1"/>
    <w:rsid w:val="60BF303A"/>
    <w:rsid w:val="61272664"/>
    <w:rsid w:val="613C33B0"/>
    <w:rsid w:val="6151694F"/>
    <w:rsid w:val="619B3B93"/>
    <w:rsid w:val="620F04F4"/>
    <w:rsid w:val="625243C2"/>
    <w:rsid w:val="62D63E36"/>
    <w:rsid w:val="63020E57"/>
    <w:rsid w:val="631B02C3"/>
    <w:rsid w:val="634A513A"/>
    <w:rsid w:val="637328E3"/>
    <w:rsid w:val="63F405EF"/>
    <w:rsid w:val="64510A98"/>
    <w:rsid w:val="64A53D52"/>
    <w:rsid w:val="64C8063C"/>
    <w:rsid w:val="64E11084"/>
    <w:rsid w:val="65535F7C"/>
    <w:rsid w:val="65A8280F"/>
    <w:rsid w:val="65D55FEA"/>
    <w:rsid w:val="66056F47"/>
    <w:rsid w:val="661F4331"/>
    <w:rsid w:val="666D614D"/>
    <w:rsid w:val="66B10DB1"/>
    <w:rsid w:val="66DA6FCC"/>
    <w:rsid w:val="66DD37A5"/>
    <w:rsid w:val="66E21ED6"/>
    <w:rsid w:val="67AB18E7"/>
    <w:rsid w:val="67E22FA9"/>
    <w:rsid w:val="67FF6DDE"/>
    <w:rsid w:val="68413AAE"/>
    <w:rsid w:val="688C2C9A"/>
    <w:rsid w:val="68D65133"/>
    <w:rsid w:val="691335D6"/>
    <w:rsid w:val="697A0E87"/>
    <w:rsid w:val="69A67633"/>
    <w:rsid w:val="69DA5F11"/>
    <w:rsid w:val="6AA70096"/>
    <w:rsid w:val="6AEB5943"/>
    <w:rsid w:val="6B21672F"/>
    <w:rsid w:val="6BC258A9"/>
    <w:rsid w:val="6C6B584B"/>
    <w:rsid w:val="6C7D037B"/>
    <w:rsid w:val="6CF74F1F"/>
    <w:rsid w:val="6D0631E1"/>
    <w:rsid w:val="6D0A424A"/>
    <w:rsid w:val="6D4612A2"/>
    <w:rsid w:val="6D512855"/>
    <w:rsid w:val="6D561E1D"/>
    <w:rsid w:val="6DB565A6"/>
    <w:rsid w:val="6DC90769"/>
    <w:rsid w:val="6E1653F4"/>
    <w:rsid w:val="6E2319BA"/>
    <w:rsid w:val="6E430DD7"/>
    <w:rsid w:val="6E5565C2"/>
    <w:rsid w:val="6EA10576"/>
    <w:rsid w:val="6EA51D44"/>
    <w:rsid w:val="6EA53EDD"/>
    <w:rsid w:val="6EB7116E"/>
    <w:rsid w:val="6F1B1FB0"/>
    <w:rsid w:val="6F7105C2"/>
    <w:rsid w:val="6F886179"/>
    <w:rsid w:val="6FFB44C5"/>
    <w:rsid w:val="708D2F3F"/>
    <w:rsid w:val="70962897"/>
    <w:rsid w:val="70AE17B7"/>
    <w:rsid w:val="70CA72A9"/>
    <w:rsid w:val="70CB7C00"/>
    <w:rsid w:val="70CE2C13"/>
    <w:rsid w:val="7103337B"/>
    <w:rsid w:val="722379AC"/>
    <w:rsid w:val="724437E2"/>
    <w:rsid w:val="72930BD0"/>
    <w:rsid w:val="72961E9A"/>
    <w:rsid w:val="72A175B1"/>
    <w:rsid w:val="72DC78A1"/>
    <w:rsid w:val="73160062"/>
    <w:rsid w:val="736C3213"/>
    <w:rsid w:val="73AF63A9"/>
    <w:rsid w:val="73C104FC"/>
    <w:rsid w:val="73D52F6E"/>
    <w:rsid w:val="73E07F7F"/>
    <w:rsid w:val="74064D74"/>
    <w:rsid w:val="740A7C2A"/>
    <w:rsid w:val="740C55B3"/>
    <w:rsid w:val="741B0095"/>
    <w:rsid w:val="74485E00"/>
    <w:rsid w:val="74645932"/>
    <w:rsid w:val="74894493"/>
    <w:rsid w:val="749222E1"/>
    <w:rsid w:val="74C90A60"/>
    <w:rsid w:val="74CA55B0"/>
    <w:rsid w:val="74EA4F0F"/>
    <w:rsid w:val="751C5D16"/>
    <w:rsid w:val="753045A8"/>
    <w:rsid w:val="757D7BEA"/>
    <w:rsid w:val="75C41942"/>
    <w:rsid w:val="76795058"/>
    <w:rsid w:val="76D14389"/>
    <w:rsid w:val="77283827"/>
    <w:rsid w:val="772C1179"/>
    <w:rsid w:val="773C5F41"/>
    <w:rsid w:val="7783365C"/>
    <w:rsid w:val="77BF38EF"/>
    <w:rsid w:val="77F55FDA"/>
    <w:rsid w:val="78AC0BE9"/>
    <w:rsid w:val="78D03CE1"/>
    <w:rsid w:val="78DE6A49"/>
    <w:rsid w:val="78F13144"/>
    <w:rsid w:val="790E164F"/>
    <w:rsid w:val="792C1A94"/>
    <w:rsid w:val="793A2915"/>
    <w:rsid w:val="79454A1C"/>
    <w:rsid w:val="798C6DF8"/>
    <w:rsid w:val="79F048F9"/>
    <w:rsid w:val="7A631618"/>
    <w:rsid w:val="7ACA3E9B"/>
    <w:rsid w:val="7ADA0AAC"/>
    <w:rsid w:val="7B5B56D5"/>
    <w:rsid w:val="7B6E7D06"/>
    <w:rsid w:val="7C09707F"/>
    <w:rsid w:val="7C1D4B88"/>
    <w:rsid w:val="7C4F68D4"/>
    <w:rsid w:val="7C646557"/>
    <w:rsid w:val="7C7F3FEF"/>
    <w:rsid w:val="7CBC1C3D"/>
    <w:rsid w:val="7CD725F1"/>
    <w:rsid w:val="7D1E6595"/>
    <w:rsid w:val="7D717D4B"/>
    <w:rsid w:val="7D750330"/>
    <w:rsid w:val="7DA31E72"/>
    <w:rsid w:val="7DE57887"/>
    <w:rsid w:val="7EAE68EC"/>
    <w:rsid w:val="7EB43D05"/>
    <w:rsid w:val="7ED20C7B"/>
    <w:rsid w:val="7F202CCF"/>
    <w:rsid w:val="7F43749F"/>
    <w:rsid w:val="7FE044DB"/>
    <w:rsid w:val="7FE53B26"/>
    <w:rsid w:val="7FE55DEE"/>
    <w:rsid w:val="7FFC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2021-03-24T09:28:00Z</dcterms:created>
  <dc:creator>admin</dc:creator>
  <cp:lastModifiedBy>锦</cp:lastModifiedBy>
  <cp:lastPrinted>2021-04-06T01:16:00Z</cp:lastPrinted>
  <dcterms:modified xsi:type="dcterms:W3CDTF">2021-05-06T02:14:18Z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C1B315FE9EF94367B2FDED42A94A2ABC</vt:lpwstr>
  </property>
</Properties>
</file>