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第十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届大学生科技文化作品展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相关注意事项的说明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根据各活动承办方发来的活动方案来看，各单位在发布具体活动通知的时候，有几点需要注意的：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1.活动的主办方由原来的青岛滨海学院科研处，更正为“青岛滨海学院科学技术协会”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2.活动方案的联系方式，应包括具体联系人的姓名、内线电话、手机号；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3.各学校发布通知后，各活动承办单位应于2个工作日内（24日前）将修改后的活动方案进行发布（含校内外和校外网）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，并自行检查通知内容、格式是否符合学校要求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4.各大赛活动结束后一周内向科研处提交活动总结及推荐获奖名单、优秀指导教师名单，电子版发送至科研处邮箱（qdbhxykyc@163.com），纸质版经主办单位领导签字、部门盖章后交科研处206室。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A5AA5"/>
    <w:rsid w:val="59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2021-03-22T01:56:00Z</dcterms:created>
  <dc:creator>身边有你81</dc:creator>
  <cp:lastModifiedBy>身边有你81</cp:lastModifiedBy>
  <dcterms:modified xsi:type="dcterms:W3CDTF">2021-03-22T01:59:06Z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96C7C19B2BCC4588B3E933B4B64F1C53</vt:lpwstr>
  </property>
</Properties>
</file>