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left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</w:t>
      </w:r>
    </w:p>
    <w:p>
      <w:pPr>
        <w:snapToGrid w:val="0"/>
        <w:spacing w:line="640" w:lineRule="exact"/>
        <w:jc w:val="left"/>
        <w:rPr>
          <w:rFonts w:hint="eastAsia" w:ascii="黑体" w:hAnsi="黑体" w:eastAsia="黑体" w:cs="方正仿宋_GBK"/>
          <w:b/>
          <w:bCs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仿宋_GB2312" w:eastAsia="方正小标宋简体" w:cs="Arial"/>
          <w:bCs/>
          <w:sz w:val="44"/>
          <w:szCs w:val="44"/>
        </w:rPr>
      </w:pP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fldChar w:fldCharType="begin"/>
      </w: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instrText xml:space="preserve">HYPERLINK "http://files2.mca.gov.cn/zyzx/201610/20161014170854266.doc"</w:instrText>
      </w: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fldChar w:fldCharType="separate"/>
      </w: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t>2019年民政政策理论研究</w:t>
      </w: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fldChar w:fldCharType="end"/>
      </w:r>
      <w:r>
        <w:rPr>
          <w:rFonts w:hint="eastAsia" w:ascii="方正小标宋简体" w:hAnsi="仿宋_GB2312" w:eastAsia="方正小标宋简体" w:cs="Arial"/>
          <w:bCs/>
          <w:sz w:val="44"/>
          <w:szCs w:val="44"/>
        </w:rPr>
        <w:t>选题</w:t>
      </w:r>
    </w:p>
    <w:p>
      <w:pPr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1.习近平关于民生民政工作重要论述研究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2.深入践行“民政为民、民政爱民”工作理念研究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3.新时代民政功能定位和发展战略研究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4.深化民政领域“放管服”改革研究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5.新时代民政法治建设研究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6.民政民生兜底保障长效机制研究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7.新时代社会救助体系建设研究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8.新时代民政基本社会服务体系建设研究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9.新时代中国养老服务体系建设研究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10.农村留守老年人关爱服务体系建设研究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11.新时代城乡社区治理体系建设研究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12.中国特色社会工作研究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13.行政区划在实施区域协调发展战略中的作用研究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14.殡葬改革研究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15.民政部门贯彻落实新时代党的建设总要求研究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16.“互联网+民政”研究</w:t>
      </w:r>
    </w:p>
    <w:p>
      <w:pPr>
        <w:spacing w:line="600" w:lineRule="atLeas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17.民政领域国际经验借鉴研究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130C"/>
    <w:rsid w:val="39C313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2018-09-28T07:06:00Z</dcterms:created>
  <dc:creator>小娟</dc:creator>
  <cp:lastModifiedBy>小娟</cp:lastModifiedBy>
  <dcterms:modified xsi:type="dcterms:W3CDTF">2018-09-28T07:06:40Z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